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黑体" w:hAnsi="黑体" w:eastAsia="黑体"/>
          <w:bCs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Cs w:val="32"/>
          <w:lang w:val="en-US" w:eastAsia="zh-CN"/>
        </w:rPr>
        <w:t>4</w:t>
      </w:r>
    </w:p>
    <w:tbl>
      <w:tblPr>
        <w:tblStyle w:val="2"/>
        <w:tblW w:w="91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851"/>
        <w:gridCol w:w="992"/>
        <w:gridCol w:w="3544"/>
        <w:gridCol w:w="2268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</w:rPr>
              <w:t>温州港口服务有限公司期租拖轮项目考评表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服务船名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评分因素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评分因素权重分值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2976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评分结果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东方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5分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对公司资质、注册资金、规模、信用信息等综合因素进行综合评分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A档（3.4-5分）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B档（1.7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3.3分）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C档（0-1.6分）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拖轮安全管理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根据拖轮近两年海事安全检查纪录（不足两年的则提供近期海事安全检查纪录）等综合进行评分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A档（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6.8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B档（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3.4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6.7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C档（0-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拖轮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概况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结合是否符合公司拖轮服务需求、</w:t>
            </w: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主要设备配置情况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、船龄、对外消防功能、船员年龄等综合因素进行综合评分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A档（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B档（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9.9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C档（0-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4.9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期租成本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根据2024年月度油耗报表进行评分。（5分）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A档（3.4-5分）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B档（1.7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3.3分）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C档（0-1.6分）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价格分（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5分）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按备注2进行评分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考评人签名：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240" w:lineRule="auto"/>
        <w:ind w:firstLine="0" w:firstLineChars="0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备注：</w:t>
      </w:r>
    </w:p>
    <w:p>
      <w:pPr>
        <w:numPr>
          <w:ilvl w:val="0"/>
          <w:numId w:val="1"/>
        </w:numPr>
        <w:spacing w:line="240" w:lineRule="auto"/>
        <w:ind w:firstLine="0" w:firstLineChars="0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信用信息以信用中国网站（www.creditchina.gov.cn）、中国政府采购网（www.ccgp.gov.cn）公布为准。</w:t>
      </w:r>
    </w:p>
    <w:p>
      <w:pPr>
        <w:numPr>
          <w:ilvl w:val="0"/>
          <w:numId w:val="1"/>
        </w:numPr>
        <w:spacing w:line="240" w:lineRule="auto"/>
        <w:ind w:firstLine="0" w:firstLineChars="0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满足拖轮服务要求的最低报价（期租月租金）为评标基准值，其余投标人报价与该基准值对比，计算出价格评分值（保留小数2位）：</w:t>
      </w:r>
    </w:p>
    <w:p>
      <w:pPr>
        <w:spacing w:line="240" w:lineRule="auto"/>
        <w:ind w:firstLine="0" w:firstLineChars="0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（1）有效投标人的投标报价等于评标基准值时，其报价分为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65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分；</w:t>
      </w:r>
    </w:p>
    <w:p>
      <w:pPr>
        <w:spacing w:line="240" w:lineRule="auto"/>
        <w:ind w:firstLine="0" w:firstLineChars="0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（2）其他投标人的价格分按以下公式计算：</w:t>
      </w:r>
    </w:p>
    <w:p>
      <w:pPr>
        <w:spacing w:line="240" w:lineRule="auto"/>
        <w:ind w:firstLine="0" w:firstLineChars="0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投标报价得分={评标基准值/投标人报价}×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65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（四舍五入后保留小数2位）。</w:t>
      </w:r>
    </w:p>
    <w:p>
      <w:pPr>
        <w:spacing w:line="240" w:lineRule="auto"/>
        <w:ind w:firstLine="0" w:firstLineChars="0"/>
        <w:rPr>
          <w:rFonts w:ascii="仿宋" w:hAnsi="仿宋" w:eastAsia="仿宋" w:cs="仿宋"/>
          <w:bCs/>
          <w:color w:val="000000"/>
          <w:sz w:val="24"/>
        </w:rPr>
      </w:pPr>
    </w:p>
    <w:p>
      <w:pPr>
        <w:spacing w:line="240" w:lineRule="auto"/>
        <w:ind w:firstLine="0" w:firstLineChars="0"/>
        <w:rPr>
          <w:rFonts w:ascii="黑体" w:hAnsi="黑体" w:eastAsia="黑体"/>
          <w:bCs/>
          <w:color w:val="000000"/>
          <w:szCs w:val="32"/>
        </w:rPr>
      </w:pPr>
    </w:p>
    <w:p>
      <w:pPr>
        <w:spacing w:line="240" w:lineRule="auto"/>
        <w:ind w:firstLine="0" w:firstLineChars="0"/>
        <w:rPr>
          <w:rFonts w:ascii="黑体" w:hAnsi="黑体" w:eastAsia="黑体"/>
          <w:bCs/>
          <w:color w:val="000000"/>
          <w:szCs w:val="32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CA7C4"/>
    <w:multiLevelType w:val="singleLevel"/>
    <w:tmpl w:val="B73CA7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867B8"/>
    <w:rsid w:val="3648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2025-09-02T23:25:00Z</dcterms:created>
  <dc:creator>wzgk</dc:creator>
  <cp:lastModifiedBy>wzgk</cp:lastModifiedBy>
  <dcterms:modified xsi:type="dcterms:W3CDTF">2025-09-02T23:27:39Z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