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B8E74">
      <w:pPr>
        <w:jc w:val="center"/>
        <w:rPr>
          <w:b/>
          <w:color w:val="auto"/>
          <w:sz w:val="52"/>
          <w:szCs w:val="52"/>
          <w:highlight w:val="none"/>
        </w:rPr>
      </w:pPr>
    </w:p>
    <w:p w14:paraId="0B0B6017">
      <w:pPr>
        <w:snapToGrid w:val="0"/>
        <w:spacing w:line="480" w:lineRule="auto"/>
        <w:ind w:firstLine="0" w:firstLineChars="0"/>
        <w:jc w:val="center"/>
        <w:rPr>
          <w:rFonts w:eastAsia="黑体"/>
          <w:b/>
          <w:color w:val="auto"/>
          <w:sz w:val="44"/>
          <w:szCs w:val="44"/>
          <w:highlight w:val="none"/>
        </w:rPr>
      </w:pPr>
    </w:p>
    <w:p w14:paraId="592B5AB2">
      <w:pPr>
        <w:snapToGrid w:val="0"/>
        <w:spacing w:line="480" w:lineRule="auto"/>
        <w:ind w:firstLine="0" w:firstLineChars="0"/>
        <w:jc w:val="center"/>
        <w:rPr>
          <w:b/>
          <w:color w:val="auto"/>
          <w:sz w:val="44"/>
          <w:szCs w:val="44"/>
          <w:highlight w:val="none"/>
        </w:rPr>
      </w:pPr>
      <w:r>
        <w:rPr>
          <w:b/>
          <w:color w:val="auto"/>
          <w:sz w:val="44"/>
          <w:szCs w:val="44"/>
          <w:highlight w:val="none"/>
        </w:rPr>
        <w:t>温州港南岳港务有限公司煤</w:t>
      </w:r>
      <w:r>
        <w:rPr>
          <w:rFonts w:hint="eastAsia"/>
          <w:b/>
          <w:color w:val="auto"/>
          <w:sz w:val="44"/>
          <w:szCs w:val="44"/>
          <w:highlight w:val="none"/>
        </w:rPr>
        <w:t>炭、铁矿</w:t>
      </w:r>
      <w:r>
        <w:rPr>
          <w:b/>
          <w:color w:val="auto"/>
          <w:sz w:val="44"/>
          <w:szCs w:val="44"/>
          <w:highlight w:val="none"/>
        </w:rPr>
        <w:t>制样设备采购项目</w:t>
      </w:r>
    </w:p>
    <w:p w14:paraId="3E4164F7">
      <w:pPr>
        <w:snapToGrid w:val="0"/>
        <w:spacing w:line="480" w:lineRule="auto"/>
        <w:ind w:firstLine="0" w:firstLineChars="0"/>
        <w:jc w:val="center"/>
        <w:rPr>
          <w:b/>
          <w:color w:val="auto"/>
          <w:sz w:val="44"/>
          <w:szCs w:val="44"/>
          <w:highlight w:val="none"/>
        </w:rPr>
      </w:pPr>
      <w:r>
        <w:rPr>
          <w:b/>
          <w:color w:val="auto"/>
          <w:sz w:val="44"/>
          <w:szCs w:val="44"/>
          <w:highlight w:val="none"/>
        </w:rPr>
        <w:t>招标文件</w:t>
      </w:r>
    </w:p>
    <w:p w14:paraId="6758606C">
      <w:pPr>
        <w:jc w:val="center"/>
        <w:rPr>
          <w:b/>
          <w:color w:val="auto"/>
          <w:sz w:val="52"/>
          <w:szCs w:val="52"/>
          <w:highlight w:val="none"/>
        </w:rPr>
      </w:pPr>
    </w:p>
    <w:p w14:paraId="0A1547A8">
      <w:pPr>
        <w:ind w:firstLine="0" w:firstLineChars="0"/>
        <w:jc w:val="center"/>
        <w:rPr>
          <w:b/>
          <w:color w:val="auto"/>
          <w:sz w:val="44"/>
          <w:szCs w:val="44"/>
          <w:highlight w:val="none"/>
        </w:rPr>
      </w:pPr>
      <w:r>
        <w:rPr>
          <w:b/>
          <w:color w:val="auto"/>
          <w:sz w:val="44"/>
          <w:szCs w:val="44"/>
          <w:highlight w:val="none"/>
        </w:rPr>
        <w:t>招标编号：</w:t>
      </w:r>
      <w:r>
        <w:rPr>
          <w:rFonts w:hint="eastAsia"/>
          <w:b/>
          <w:color w:val="auto"/>
          <w:sz w:val="44"/>
          <w:szCs w:val="44"/>
          <w:highlight w:val="none"/>
        </w:rPr>
        <w:t>NYWZCG2026156</w:t>
      </w:r>
    </w:p>
    <w:p w14:paraId="4ACCD80C">
      <w:pPr>
        <w:snapToGrid w:val="0"/>
        <w:spacing w:before="156" w:beforeLines="50"/>
        <w:ind w:firstLine="602"/>
        <w:rPr>
          <w:b/>
          <w:color w:val="auto"/>
          <w:sz w:val="30"/>
          <w:szCs w:val="72"/>
          <w:highlight w:val="none"/>
        </w:rPr>
      </w:pPr>
    </w:p>
    <w:p w14:paraId="317CBB8F">
      <w:pPr>
        <w:snapToGrid w:val="0"/>
        <w:spacing w:before="156" w:beforeLines="50"/>
        <w:ind w:firstLine="0" w:firstLineChars="0"/>
        <w:rPr>
          <w:b/>
          <w:color w:val="auto"/>
          <w:sz w:val="30"/>
          <w:szCs w:val="72"/>
          <w:highlight w:val="none"/>
        </w:rPr>
      </w:pPr>
    </w:p>
    <w:p w14:paraId="2B38D371">
      <w:pPr>
        <w:pStyle w:val="2"/>
        <w:rPr>
          <w:b w:val="0"/>
          <w:color w:val="auto"/>
          <w:szCs w:val="72"/>
          <w:highlight w:val="none"/>
        </w:rPr>
      </w:pPr>
    </w:p>
    <w:p w14:paraId="01E3911E">
      <w:pPr>
        <w:ind w:firstLine="420"/>
        <w:rPr>
          <w:color w:val="auto"/>
          <w:highlight w:val="none"/>
        </w:rPr>
      </w:pPr>
    </w:p>
    <w:p w14:paraId="63CDDBD4">
      <w:pPr>
        <w:ind w:firstLine="680"/>
        <w:rPr>
          <w:rFonts w:ascii="宋体" w:hAnsi="宋体" w:cs="宋体"/>
          <w:color w:val="auto"/>
          <w:spacing w:val="30"/>
          <w:sz w:val="28"/>
          <w:szCs w:val="28"/>
          <w:highlight w:val="none"/>
        </w:rPr>
      </w:pPr>
    </w:p>
    <w:p w14:paraId="5C416C7B">
      <w:pPr>
        <w:ind w:firstLine="640"/>
        <w:jc w:val="center"/>
        <w:rPr>
          <w:rFonts w:ascii="宋体" w:hAnsi="宋体" w:cs="宋体"/>
          <w:color w:val="auto"/>
          <w:sz w:val="32"/>
          <w:szCs w:val="32"/>
          <w:highlight w:val="none"/>
        </w:rPr>
      </w:pPr>
      <w:r>
        <w:rPr>
          <w:rFonts w:hint="eastAsia" w:ascii="宋体" w:hAnsi="宋体" w:cs="宋体"/>
          <w:color w:val="auto"/>
          <w:sz w:val="32"/>
          <w:szCs w:val="32"/>
          <w:highlight w:val="none"/>
        </w:rPr>
        <w:t>招标人（盖章）：温州港南岳港务有限公司</w:t>
      </w:r>
    </w:p>
    <w:p w14:paraId="2995006B">
      <w:pPr>
        <w:pStyle w:val="137"/>
        <w:ind w:firstLine="640"/>
        <w:rPr>
          <w:rFonts w:ascii="宋体" w:hAnsi="宋体" w:cs="宋体"/>
          <w:color w:val="auto"/>
          <w:sz w:val="32"/>
          <w:szCs w:val="32"/>
          <w:highlight w:val="none"/>
        </w:rPr>
      </w:pPr>
    </w:p>
    <w:p w14:paraId="0CAACAFD">
      <w:pPr>
        <w:ind w:firstLine="640"/>
        <w:jc w:val="center"/>
        <w:rPr>
          <w:rFonts w:ascii="宋体" w:hAnsi="宋体" w:cs="宋体"/>
          <w:color w:val="auto"/>
          <w:sz w:val="32"/>
          <w:szCs w:val="32"/>
          <w:highlight w:val="none"/>
        </w:rPr>
      </w:pPr>
      <w:r>
        <w:rPr>
          <w:rFonts w:hint="eastAsia" w:ascii="宋体" w:hAnsi="宋体" w:cs="宋体"/>
          <w:color w:val="auto"/>
          <w:sz w:val="32"/>
          <w:szCs w:val="32"/>
          <w:highlight w:val="none"/>
        </w:rPr>
        <w:t>招标代理机构（盖章）：华信咨询设计研究院有限公司</w:t>
      </w:r>
    </w:p>
    <w:p w14:paraId="44F49D80">
      <w:pPr>
        <w:ind w:firstLine="0" w:firstLineChars="0"/>
        <w:rPr>
          <w:b/>
          <w:color w:val="auto"/>
          <w:sz w:val="36"/>
          <w:szCs w:val="36"/>
          <w:highlight w:val="none"/>
        </w:rPr>
      </w:pPr>
    </w:p>
    <w:p w14:paraId="0B283C1E">
      <w:pPr>
        <w:ind w:firstLine="0" w:firstLineChars="0"/>
        <w:jc w:val="center"/>
        <w:rPr>
          <w:b/>
          <w:color w:val="auto"/>
          <w:sz w:val="36"/>
          <w:szCs w:val="36"/>
          <w:highlight w:val="none"/>
        </w:rPr>
      </w:pPr>
      <w:r>
        <w:rPr>
          <w:b/>
          <w:color w:val="auto"/>
          <w:sz w:val="36"/>
          <w:szCs w:val="36"/>
          <w:highlight w:val="none"/>
        </w:rPr>
        <w:t xml:space="preserve"> </w:t>
      </w:r>
    </w:p>
    <w:p w14:paraId="46A9AEE0">
      <w:pPr>
        <w:ind w:left="359" w:leftChars="171" w:firstLine="0" w:firstLineChars="0"/>
        <w:jc w:val="center"/>
        <w:rP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r>
        <w:rPr>
          <w:rFonts w:hint="eastAsia"/>
          <w:b/>
          <w:color w:val="auto"/>
          <w:sz w:val="36"/>
          <w:szCs w:val="36"/>
          <w:highlight w:val="none"/>
        </w:rPr>
        <w:t>2026</w:t>
      </w:r>
      <w:r>
        <w:rPr>
          <w:b/>
          <w:color w:val="auto"/>
          <w:sz w:val="36"/>
          <w:szCs w:val="36"/>
          <w:highlight w:val="none"/>
        </w:rPr>
        <w:t>年</w:t>
      </w:r>
      <w:r>
        <w:rPr>
          <w:rFonts w:hint="eastAsia"/>
          <w:b/>
          <w:color w:val="auto"/>
          <w:sz w:val="36"/>
          <w:szCs w:val="36"/>
          <w:highlight w:val="none"/>
          <w:lang w:val="en-US" w:eastAsia="zh-CN"/>
        </w:rPr>
        <w:t>7</w:t>
      </w:r>
      <w:r>
        <w:rPr>
          <w:b/>
          <w:color w:val="auto"/>
          <w:sz w:val="36"/>
          <w:szCs w:val="36"/>
          <w:highlight w:val="none"/>
        </w:rPr>
        <w:t>月</w:t>
      </w:r>
    </w:p>
    <w:p w14:paraId="3F259474">
      <w:pPr>
        <w:ind w:firstLine="0" w:firstLineChars="0"/>
        <w:jc w:val="center"/>
        <w:rPr>
          <w:rFonts w:ascii="宋体" w:hAnsi="宋体" w:cs="宋体"/>
          <w:b/>
          <w:color w:val="auto"/>
          <w:sz w:val="36"/>
          <w:szCs w:val="36"/>
          <w:highlight w:val="none"/>
        </w:rPr>
      </w:pPr>
      <w:r>
        <w:rPr>
          <w:rFonts w:hint="eastAsia" w:ascii="宋体" w:hAnsi="宋体" w:cs="宋体"/>
          <w:b/>
          <w:color w:val="auto"/>
          <w:sz w:val="36"/>
          <w:szCs w:val="36"/>
          <w:highlight w:val="none"/>
        </w:rPr>
        <w:t>目    录</w:t>
      </w:r>
    </w:p>
    <w:p w14:paraId="2E609264">
      <w:pPr>
        <w:ind w:firstLine="0" w:firstLineChars="0"/>
        <w:jc w:val="center"/>
        <w:rPr>
          <w:rFonts w:ascii="宋体" w:hAnsi="宋体" w:cs="宋体"/>
          <w:b/>
          <w:color w:val="auto"/>
          <w:sz w:val="36"/>
          <w:szCs w:val="36"/>
          <w:highlight w:val="none"/>
        </w:rPr>
      </w:pPr>
    </w:p>
    <w:p w14:paraId="62351008">
      <w:pPr>
        <w:pStyle w:val="28"/>
        <w:tabs>
          <w:tab w:val="right" w:leader="dot" w:pos="8390"/>
        </w:tabs>
        <w:rPr>
          <w:rFonts w:ascii="宋体" w:hAnsi="宋体" w:cs="宋体"/>
          <w:color w:val="auto"/>
          <w:highlight w:val="none"/>
        </w:rPr>
      </w:pPr>
      <w:r>
        <w:rPr>
          <w:rFonts w:hint="eastAsia" w:ascii="宋体" w:hAnsi="宋体" w:cs="宋体"/>
          <w:b w:val="0"/>
          <w:color w:val="auto"/>
          <w:szCs w:val="28"/>
          <w:highlight w:val="none"/>
        </w:rPr>
        <w:fldChar w:fldCharType="begin"/>
      </w:r>
      <w:r>
        <w:rPr>
          <w:rFonts w:hint="eastAsia" w:ascii="宋体" w:hAnsi="宋体" w:cs="宋体"/>
          <w:b w:val="0"/>
          <w:color w:val="auto"/>
          <w:szCs w:val="28"/>
          <w:highlight w:val="none"/>
        </w:rPr>
        <w:instrText xml:space="preserve"> TOC \o "1-1" \h \z </w:instrText>
      </w:r>
      <w:r>
        <w:rPr>
          <w:rFonts w:hint="eastAsia" w:ascii="宋体" w:hAnsi="宋体" w:cs="宋体"/>
          <w:b w:val="0"/>
          <w:color w:val="auto"/>
          <w:szCs w:val="28"/>
          <w:highlight w:val="none"/>
        </w:rPr>
        <w:fldChar w:fldCharType="separate"/>
      </w:r>
      <w:r>
        <w:rPr>
          <w:color w:val="auto"/>
          <w:highlight w:val="none"/>
        </w:rPr>
        <w:fldChar w:fldCharType="begin"/>
      </w:r>
      <w:r>
        <w:rPr>
          <w:color w:val="auto"/>
          <w:highlight w:val="none"/>
        </w:rPr>
        <w:instrText xml:space="preserve"> HYPERLINK \l "_Toc26983" </w:instrText>
      </w:r>
      <w:r>
        <w:rPr>
          <w:color w:val="auto"/>
          <w:highlight w:val="none"/>
        </w:rPr>
        <w:fldChar w:fldCharType="separate"/>
      </w:r>
      <w:r>
        <w:rPr>
          <w:rFonts w:hint="eastAsia" w:ascii="宋体" w:hAnsi="宋体" w:cs="宋体"/>
          <w:color w:val="auto"/>
          <w:highlight w:val="none"/>
        </w:rPr>
        <w:t>第一章  招标公告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_Toc26983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15D8F78">
      <w:pPr>
        <w:pStyle w:val="28"/>
        <w:tabs>
          <w:tab w:val="right" w:leader="dot" w:pos="8390"/>
        </w:tabs>
        <w:rPr>
          <w:rFonts w:ascii="宋体" w:hAnsi="宋体" w:cs="宋体"/>
          <w:color w:val="auto"/>
          <w:highlight w:val="none"/>
        </w:rPr>
      </w:pPr>
      <w:r>
        <w:rPr>
          <w:color w:val="auto"/>
          <w:highlight w:val="none"/>
        </w:rPr>
        <w:fldChar w:fldCharType="begin"/>
      </w:r>
      <w:r>
        <w:rPr>
          <w:color w:val="auto"/>
          <w:highlight w:val="none"/>
        </w:rPr>
        <w:instrText xml:space="preserve"> HYPERLINK \l "_Toc8555" </w:instrText>
      </w:r>
      <w:r>
        <w:rPr>
          <w:color w:val="auto"/>
          <w:highlight w:val="none"/>
        </w:rPr>
        <w:fldChar w:fldCharType="separate"/>
      </w:r>
      <w:r>
        <w:rPr>
          <w:rFonts w:hint="eastAsia" w:ascii="宋体" w:hAnsi="宋体" w:cs="宋体"/>
          <w:bCs/>
          <w:color w:val="auto"/>
          <w:kern w:val="44"/>
          <w:szCs w:val="44"/>
          <w:highlight w:val="none"/>
        </w:rPr>
        <w:t>第二章  招标需求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_Toc8555 \h </w:instrText>
      </w:r>
      <w:r>
        <w:rPr>
          <w:rFonts w:hint="eastAsia" w:ascii="宋体" w:hAnsi="宋体" w:cs="宋体"/>
          <w:color w:val="auto"/>
          <w:highlight w:val="none"/>
        </w:rPr>
        <w:fldChar w:fldCharType="separate"/>
      </w:r>
      <w:r>
        <w:rPr>
          <w:rFonts w:hint="eastAsia" w:ascii="宋体" w:hAnsi="宋体" w:cs="宋体"/>
          <w:color w:val="auto"/>
          <w:highlight w:val="none"/>
        </w:rPr>
        <w:t>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990548D">
      <w:pPr>
        <w:pStyle w:val="28"/>
        <w:tabs>
          <w:tab w:val="right" w:leader="dot" w:pos="8390"/>
        </w:tabs>
        <w:rPr>
          <w:rFonts w:ascii="宋体" w:hAnsi="宋体" w:cs="宋体"/>
          <w:color w:val="auto"/>
          <w:highlight w:val="none"/>
        </w:rPr>
      </w:pPr>
      <w:r>
        <w:rPr>
          <w:color w:val="auto"/>
          <w:highlight w:val="none"/>
        </w:rPr>
        <w:fldChar w:fldCharType="begin"/>
      </w:r>
      <w:r>
        <w:rPr>
          <w:color w:val="auto"/>
          <w:highlight w:val="none"/>
        </w:rPr>
        <w:instrText xml:space="preserve"> HYPERLINK \l "_Toc22603" </w:instrText>
      </w:r>
      <w:r>
        <w:rPr>
          <w:color w:val="auto"/>
          <w:highlight w:val="none"/>
        </w:rPr>
        <w:fldChar w:fldCharType="separate"/>
      </w:r>
      <w:r>
        <w:rPr>
          <w:rFonts w:hint="eastAsia" w:ascii="宋体" w:hAnsi="宋体" w:cs="宋体"/>
          <w:color w:val="auto"/>
          <w:highlight w:val="none"/>
        </w:rPr>
        <w:t>第三章  投标人须知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_Toc22603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03E9619">
      <w:pPr>
        <w:pStyle w:val="28"/>
        <w:tabs>
          <w:tab w:val="right" w:leader="dot" w:pos="8390"/>
        </w:tabs>
        <w:rPr>
          <w:rFonts w:ascii="宋体" w:hAnsi="宋体" w:cs="宋体"/>
          <w:color w:val="auto"/>
          <w:highlight w:val="none"/>
        </w:rPr>
      </w:pPr>
      <w:r>
        <w:rPr>
          <w:color w:val="auto"/>
          <w:highlight w:val="none"/>
        </w:rPr>
        <w:fldChar w:fldCharType="begin"/>
      </w:r>
      <w:r>
        <w:rPr>
          <w:color w:val="auto"/>
          <w:highlight w:val="none"/>
        </w:rPr>
        <w:instrText xml:space="preserve"> HYPERLINK \l "_Toc10133" </w:instrText>
      </w:r>
      <w:r>
        <w:rPr>
          <w:color w:val="auto"/>
          <w:highlight w:val="none"/>
        </w:rPr>
        <w:fldChar w:fldCharType="separate"/>
      </w:r>
      <w:r>
        <w:rPr>
          <w:rFonts w:hint="eastAsia" w:ascii="宋体" w:hAnsi="宋体" w:cs="宋体"/>
          <w:color w:val="auto"/>
          <w:highlight w:val="none"/>
        </w:rPr>
        <w:t>第四章  评标办法及评分标准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_Toc10133 \h </w:instrText>
      </w:r>
      <w:r>
        <w:rPr>
          <w:rFonts w:hint="eastAsia" w:ascii="宋体" w:hAnsi="宋体" w:cs="宋体"/>
          <w:color w:val="auto"/>
          <w:highlight w:val="none"/>
        </w:rPr>
        <w:fldChar w:fldCharType="separate"/>
      </w:r>
      <w:r>
        <w:rPr>
          <w:rFonts w:hint="eastAsia" w:ascii="宋体" w:hAnsi="宋体" w:cs="宋体"/>
          <w:color w:val="auto"/>
          <w:highlight w:val="none"/>
        </w:rPr>
        <w:t>28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F299745">
      <w:pPr>
        <w:pStyle w:val="28"/>
        <w:tabs>
          <w:tab w:val="right" w:leader="dot" w:pos="8390"/>
        </w:tabs>
        <w:rPr>
          <w:rFonts w:ascii="宋体" w:hAnsi="宋体" w:cs="宋体"/>
          <w:color w:val="auto"/>
          <w:highlight w:val="none"/>
        </w:rPr>
      </w:pPr>
      <w:r>
        <w:rPr>
          <w:color w:val="auto"/>
          <w:highlight w:val="none"/>
        </w:rPr>
        <w:fldChar w:fldCharType="begin"/>
      </w:r>
      <w:r>
        <w:rPr>
          <w:color w:val="auto"/>
          <w:highlight w:val="none"/>
        </w:rPr>
        <w:instrText xml:space="preserve"> HYPERLINK \l "_Toc27622" </w:instrText>
      </w:r>
      <w:r>
        <w:rPr>
          <w:color w:val="auto"/>
          <w:highlight w:val="none"/>
        </w:rPr>
        <w:fldChar w:fldCharType="separate"/>
      </w:r>
      <w:r>
        <w:rPr>
          <w:rFonts w:hint="eastAsia" w:ascii="宋体" w:hAnsi="宋体" w:cs="宋体"/>
          <w:color w:val="auto"/>
          <w:highlight w:val="none"/>
        </w:rPr>
        <w:t>第五章  合同主要条款</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_Toc27622 \h </w:instrText>
      </w:r>
      <w:r>
        <w:rPr>
          <w:rFonts w:hint="eastAsia" w:ascii="宋体" w:hAnsi="宋体" w:cs="宋体"/>
          <w:color w:val="auto"/>
          <w:highlight w:val="none"/>
        </w:rPr>
        <w:fldChar w:fldCharType="separate"/>
      </w:r>
      <w:r>
        <w:rPr>
          <w:rFonts w:hint="eastAsia" w:ascii="宋体" w:hAnsi="宋体" w:cs="宋体"/>
          <w:color w:val="auto"/>
          <w:highlight w:val="none"/>
        </w:rPr>
        <w:t>34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5F7E48C">
      <w:pPr>
        <w:pStyle w:val="28"/>
        <w:tabs>
          <w:tab w:val="right" w:leader="dot" w:pos="8390"/>
        </w:tabs>
        <w:rPr>
          <w:rFonts w:ascii="宋体" w:hAnsi="宋体" w:cs="宋体"/>
          <w:color w:val="auto"/>
          <w:highlight w:val="none"/>
        </w:rPr>
      </w:pPr>
      <w:r>
        <w:rPr>
          <w:color w:val="auto"/>
          <w:highlight w:val="none"/>
        </w:rPr>
        <w:fldChar w:fldCharType="begin"/>
      </w:r>
      <w:r>
        <w:rPr>
          <w:color w:val="auto"/>
          <w:highlight w:val="none"/>
        </w:rPr>
        <w:instrText xml:space="preserve"> HYPERLINK \l "_Toc7828" </w:instrText>
      </w:r>
      <w:r>
        <w:rPr>
          <w:color w:val="auto"/>
          <w:highlight w:val="none"/>
        </w:rPr>
        <w:fldChar w:fldCharType="separate"/>
      </w:r>
      <w:r>
        <w:rPr>
          <w:rFonts w:hint="eastAsia" w:ascii="宋体" w:hAnsi="宋体" w:cs="宋体"/>
          <w:color w:val="auto"/>
          <w:highlight w:val="none"/>
        </w:rPr>
        <w:t>第六章  投标文件格式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_Toc7828 \h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A0E7954">
      <w:pPr>
        <w:ind w:firstLine="0" w:firstLineChars="0"/>
        <w:jc w:val="center"/>
        <w:rPr>
          <w:rFonts w:ascii="宋体" w:hAnsi="宋体" w:cs="宋体"/>
          <w:b/>
          <w:color w:val="auto"/>
          <w:sz w:val="28"/>
          <w:szCs w:val="21"/>
          <w:highlight w:val="none"/>
        </w:rPr>
      </w:pPr>
      <w:r>
        <w:rPr>
          <w:rFonts w:hint="eastAsia" w:ascii="宋体" w:hAnsi="宋体" w:cs="宋体"/>
          <w:color w:val="auto"/>
          <w:szCs w:val="28"/>
          <w:highlight w:val="none"/>
        </w:rPr>
        <w:fldChar w:fldCharType="end"/>
      </w:r>
    </w:p>
    <w:p w14:paraId="4EA5C7B3">
      <w:pPr>
        <w:pStyle w:val="2"/>
        <w:rPr>
          <w:rFonts w:ascii="宋体" w:hAnsi="宋体" w:cs="宋体"/>
          <w:color w:val="auto"/>
          <w:highlight w:val="none"/>
        </w:rPr>
        <w:sectPr>
          <w:headerReference r:id="rId11" w:type="default"/>
          <w:footerReference r:id="rId12" w:type="default"/>
          <w:pgSz w:w="11906" w:h="16838"/>
          <w:pgMar w:top="1440" w:right="1800" w:bottom="1440" w:left="1800" w:header="851" w:footer="992" w:gutter="0"/>
          <w:cols w:space="720" w:num="1"/>
          <w:docGrid w:type="lines" w:linePitch="312" w:charSpace="0"/>
        </w:sectPr>
      </w:pPr>
      <w:bookmarkStart w:id="0" w:name="_Toc26983"/>
      <w:bookmarkStart w:id="1" w:name="_Toc24126"/>
    </w:p>
    <w:p w14:paraId="19B5496F">
      <w:pPr>
        <w:pStyle w:val="2"/>
        <w:rPr>
          <w:rFonts w:ascii="宋体" w:hAnsi="宋体" w:cs="宋体"/>
          <w:color w:val="auto"/>
          <w:highlight w:val="none"/>
        </w:rPr>
      </w:pPr>
      <w:r>
        <w:rPr>
          <w:rFonts w:hint="eastAsia" w:ascii="宋体" w:hAnsi="宋体" w:cs="宋体"/>
          <w:color w:val="auto"/>
          <w:highlight w:val="none"/>
        </w:rPr>
        <w:t>第一章  招标公告</w:t>
      </w:r>
      <w:bookmarkEnd w:id="0"/>
      <w:bookmarkEnd w:id="1"/>
    </w:p>
    <w:p w14:paraId="6B56C41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u w:val="single"/>
        </w:rPr>
        <w:t>华信咨询设计研究院有限公司</w:t>
      </w:r>
      <w:r>
        <w:rPr>
          <w:rFonts w:hint="eastAsia" w:ascii="宋体" w:hAnsi="宋体" w:cs="宋体"/>
          <w:color w:val="auto"/>
          <w:szCs w:val="21"/>
          <w:highlight w:val="none"/>
        </w:rPr>
        <w:t>受</w:t>
      </w:r>
      <w:r>
        <w:rPr>
          <w:rFonts w:hint="eastAsia" w:ascii="宋体" w:hAnsi="宋体" w:cs="宋体"/>
          <w:color w:val="auto"/>
          <w:szCs w:val="21"/>
          <w:highlight w:val="none"/>
          <w:u w:val="single"/>
        </w:rPr>
        <w:t>温州港南岳港务有限公司</w:t>
      </w:r>
      <w:r>
        <w:rPr>
          <w:rFonts w:hint="eastAsia" w:ascii="宋体" w:hAnsi="宋体" w:cs="宋体"/>
          <w:color w:val="auto"/>
          <w:szCs w:val="21"/>
          <w:highlight w:val="none"/>
        </w:rPr>
        <w:t>的委托，拟对</w:t>
      </w:r>
      <w:r>
        <w:rPr>
          <w:rFonts w:hint="eastAsia" w:ascii="宋体" w:hAnsi="宋体" w:cs="宋体"/>
          <w:color w:val="auto"/>
          <w:szCs w:val="21"/>
          <w:highlight w:val="none"/>
          <w:u w:val="single"/>
        </w:rPr>
        <w:t>温州港南岳港务有限公司煤炭、铁矿制样设备采购项目</w:t>
      </w:r>
      <w:r>
        <w:rPr>
          <w:rFonts w:hint="eastAsia" w:ascii="宋体" w:hAnsi="宋体" w:cs="宋体"/>
          <w:color w:val="auto"/>
          <w:szCs w:val="21"/>
          <w:highlight w:val="none"/>
        </w:rPr>
        <w:t>进行</w:t>
      </w:r>
      <w:bookmarkStart w:id="2" w:name="gxebd_biddingMethod_2"/>
      <w:r>
        <w:rPr>
          <w:rFonts w:hint="eastAsia" w:ascii="宋体" w:hAnsi="宋体" w:cs="宋体"/>
          <w:color w:val="auto"/>
          <w:szCs w:val="21"/>
          <w:highlight w:val="none"/>
        </w:rPr>
        <w:t>公开招标</w:t>
      </w:r>
      <w:bookmarkEnd w:id="2"/>
      <w:r>
        <w:rPr>
          <w:rFonts w:hint="eastAsia" w:ascii="宋体" w:hAnsi="宋体" w:cs="宋体"/>
          <w:color w:val="auto"/>
          <w:szCs w:val="21"/>
          <w:highlight w:val="none"/>
        </w:rPr>
        <w:t>，欢迎符合资格条件的投标人前来投标。</w:t>
      </w:r>
    </w:p>
    <w:p w14:paraId="730FD1B2">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一、项目编号</w:t>
      </w:r>
    </w:p>
    <w:p w14:paraId="30AFC9B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NYWZCG2026156</w:t>
      </w:r>
    </w:p>
    <w:p w14:paraId="42308305">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二、本项目采用</w:t>
      </w:r>
      <w:bookmarkStart w:id="3" w:name="gxebd_procurementMethod_1"/>
      <w:r>
        <w:rPr>
          <w:rFonts w:hint="eastAsia" w:ascii="宋体" w:hAnsi="宋体" w:cs="宋体"/>
          <w:color w:val="auto"/>
          <w:sz w:val="21"/>
          <w:highlight w:val="none"/>
        </w:rPr>
        <w:t>公开招标，资格后审</w:t>
      </w:r>
      <w:bookmarkEnd w:id="3"/>
      <w:r>
        <w:rPr>
          <w:rFonts w:hint="eastAsia" w:ascii="宋体" w:hAnsi="宋体" w:cs="宋体"/>
          <w:color w:val="auto"/>
          <w:sz w:val="21"/>
          <w:highlight w:val="none"/>
        </w:rPr>
        <w:t>方式。</w:t>
      </w:r>
    </w:p>
    <w:p w14:paraId="5046535E">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三、采购内容、交付时间、质保期及最高限价：</w:t>
      </w:r>
    </w:p>
    <w:p w14:paraId="3FCE5D13">
      <w:pPr>
        <w:adjustRightInd w:val="0"/>
        <w:snapToGrid w:val="0"/>
        <w:ind w:firstLine="420"/>
        <w:rPr>
          <w:rFonts w:ascii="宋体" w:hAnsi="宋体" w:cs="宋体"/>
          <w:color w:val="auto"/>
          <w:szCs w:val="21"/>
          <w:highlight w:val="none"/>
        </w:rPr>
      </w:pPr>
      <w:bookmarkStart w:id="4" w:name="gxebd_projectOverviewScope_1"/>
      <w:r>
        <w:rPr>
          <w:rFonts w:hint="eastAsia" w:ascii="宋体" w:hAnsi="宋体" w:cs="宋体"/>
          <w:color w:val="auto"/>
          <w:szCs w:val="21"/>
          <w:highlight w:val="none"/>
        </w:rPr>
        <w:t>1. 采购内容：本项目为温州港南岳港务有限公司采购煤炭、铁矿制样设备一批，主要包括联合制样机、锤式破碎机、对辊破碎机等设备及配套辅件采购，详见招标文件第二章 招标需求。</w:t>
      </w:r>
    </w:p>
    <w:p w14:paraId="300DEAB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交付时间：</w:t>
      </w:r>
      <w:r>
        <w:rPr>
          <w:rFonts w:hint="eastAsia" w:ascii="宋体" w:hAnsi="宋体" w:cs="宋体"/>
          <w:color w:val="auto"/>
          <w:szCs w:val="21"/>
          <w:highlight w:val="none"/>
          <w:lang w:val="en-US" w:eastAsia="zh-CN"/>
        </w:rPr>
        <w:t>接招标人书面通知</w:t>
      </w:r>
      <w:r>
        <w:rPr>
          <w:rFonts w:hint="eastAsia" w:ascii="宋体" w:hAnsi="宋体" w:cs="宋体"/>
          <w:color w:val="auto"/>
          <w:szCs w:val="21"/>
          <w:highlight w:val="none"/>
        </w:rPr>
        <w:t>之日起40日历天内完成供货</w:t>
      </w:r>
      <w:r>
        <w:rPr>
          <w:rFonts w:hint="eastAsia" w:ascii="宋体" w:hAnsi="宋体" w:cs="宋体"/>
          <w:color w:val="auto"/>
          <w:szCs w:val="21"/>
          <w:highlight w:val="none"/>
          <w:lang w:val="en-US" w:eastAsia="zh-CN"/>
        </w:rPr>
        <w:t>及就位调试</w:t>
      </w:r>
      <w:r>
        <w:rPr>
          <w:rFonts w:hint="eastAsia" w:ascii="宋体" w:hAnsi="宋体" w:cs="宋体"/>
          <w:color w:val="auto"/>
          <w:szCs w:val="21"/>
          <w:highlight w:val="none"/>
        </w:rPr>
        <w:t>，并通过招标人验收。</w:t>
      </w:r>
    </w:p>
    <w:p w14:paraId="43AFE23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质保期：</w:t>
      </w:r>
      <w:bookmarkEnd w:id="4"/>
      <w:r>
        <w:rPr>
          <w:rFonts w:hint="eastAsia" w:ascii="宋体" w:hAnsi="宋体" w:cs="宋体"/>
          <w:color w:val="auto"/>
          <w:szCs w:val="21"/>
          <w:highlight w:val="none"/>
        </w:rPr>
        <w:t>自招标人验收合格后起计，所有设备及其配套辅件质保期至少为12个月。</w:t>
      </w:r>
    </w:p>
    <w:p w14:paraId="58D33133">
      <w:pPr>
        <w:adjustRightInd w:val="0"/>
        <w:snapToGrid w:val="0"/>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质保期内因产品材料、工艺、制造质量问题发生故障、损坏的，中标人须免费维修、免费更换，产生的人工、交通、耗材、运输等全部费用由中标人承担。</w:t>
      </w:r>
      <w:r>
        <w:rPr>
          <w:rStyle w:val="50"/>
          <w:rFonts w:hint="eastAsia"/>
          <w:color w:val="auto"/>
          <w:kern w:val="0"/>
          <w:highlight w:val="none"/>
        </w:rPr>
        <w:t>如整机</w:t>
      </w:r>
      <w:r>
        <w:rPr>
          <w:rStyle w:val="50"/>
          <w:rFonts w:hint="eastAsia"/>
          <w:color w:val="auto"/>
          <w:kern w:val="0"/>
          <w:highlight w:val="none"/>
          <w:lang w:val="en-US" w:eastAsia="zh-CN"/>
        </w:rPr>
        <w:t>维修</w:t>
      </w:r>
      <w:r>
        <w:rPr>
          <w:rStyle w:val="50"/>
          <w:rFonts w:hint="eastAsia"/>
          <w:color w:val="auto"/>
          <w:kern w:val="0"/>
          <w:highlight w:val="none"/>
        </w:rPr>
        <w:t>更换，则质保期自维修完成之日重新起计，如</w:t>
      </w:r>
      <w:r>
        <w:rPr>
          <w:rStyle w:val="50"/>
          <w:rFonts w:hint="eastAsia"/>
          <w:color w:val="auto"/>
          <w:kern w:val="0"/>
          <w:highlight w:val="none"/>
          <w:lang w:val="en-US" w:eastAsia="zh-CN"/>
        </w:rPr>
        <w:t>维修</w:t>
      </w:r>
      <w:r>
        <w:rPr>
          <w:rStyle w:val="50"/>
          <w:rFonts w:hint="eastAsia"/>
          <w:color w:val="auto"/>
          <w:kern w:val="0"/>
          <w:highlight w:val="none"/>
        </w:rPr>
        <w:t>更换配件，</w:t>
      </w:r>
      <w:r>
        <w:rPr>
          <w:rStyle w:val="50"/>
          <w:rFonts w:hint="eastAsia"/>
          <w:color w:val="auto"/>
          <w:kern w:val="0"/>
          <w:highlight w:val="none"/>
          <w:lang w:val="en-US" w:eastAsia="zh-CN"/>
        </w:rPr>
        <w:t>则</w:t>
      </w:r>
      <w:r>
        <w:rPr>
          <w:rStyle w:val="50"/>
          <w:rFonts w:hint="eastAsia"/>
          <w:color w:val="auto"/>
          <w:kern w:val="0"/>
          <w:highlight w:val="none"/>
        </w:rPr>
        <w:t>配件的质保期自维修完成之日重新起计</w:t>
      </w:r>
      <w:r>
        <w:rPr>
          <w:rStyle w:val="50"/>
          <w:rFonts w:hint="eastAsia"/>
          <w:color w:val="auto"/>
          <w:kern w:val="0"/>
          <w:highlight w:val="none"/>
          <w:lang w:eastAsia="zh-CN"/>
        </w:rPr>
        <w:t>。</w:t>
      </w:r>
    </w:p>
    <w:p w14:paraId="430DAA0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 最高限价：</w:t>
      </w:r>
      <w:r>
        <w:rPr>
          <w:rFonts w:hint="eastAsia" w:ascii="宋体" w:hAnsi="宋体" w:cs="宋体"/>
          <w:color w:val="auto"/>
          <w:szCs w:val="21"/>
          <w:highlight w:val="none"/>
          <w:lang w:val="en-US" w:eastAsia="zh-CN"/>
        </w:rPr>
        <w:t>73</w:t>
      </w:r>
      <w:r>
        <w:rPr>
          <w:rFonts w:hint="eastAsia" w:ascii="宋体" w:hAnsi="宋体" w:cs="宋体"/>
          <w:color w:val="auto"/>
          <w:szCs w:val="21"/>
          <w:highlight w:val="none"/>
        </w:rPr>
        <w:t>万元（人民币）。</w:t>
      </w:r>
    </w:p>
    <w:p w14:paraId="3FF0DBB8">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四、合格投标人的资格要求</w:t>
      </w:r>
    </w:p>
    <w:p w14:paraId="280C0BD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1.具有独立承担民事责任的能力；具有良好的商业信誉和健全的财务会计制度；具有履行合同所必需的能力，具有完成本次招标项目的能力，提供有效的营业执照扫描件加盖公章。</w:t>
      </w:r>
    </w:p>
    <w:p w14:paraId="37FA9B9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2.投标人自2023年5月1日</w:t>
      </w:r>
      <w:r>
        <w:rPr>
          <w:rFonts w:hint="eastAsia" w:ascii="宋体" w:hAnsi="宋体" w:cs="宋体"/>
          <w:b/>
          <w:bCs/>
          <w:color w:val="auto"/>
          <w:szCs w:val="21"/>
          <w:highlight w:val="none"/>
        </w:rPr>
        <w:t>以</w:t>
      </w:r>
      <w:r>
        <w:rPr>
          <w:rFonts w:hint="eastAsia" w:ascii="宋体" w:hAnsi="宋体" w:cs="宋体"/>
          <w:b/>
          <w:bCs/>
          <w:color w:val="auto"/>
          <w:szCs w:val="21"/>
          <w:highlight w:val="none"/>
          <w:lang w:val="en-US" w:eastAsia="zh-CN"/>
        </w:rPr>
        <w:t>前</w:t>
      </w:r>
      <w:r>
        <w:rPr>
          <w:rFonts w:hint="eastAsia" w:ascii="宋体" w:hAnsi="宋体" w:cs="宋体"/>
          <w:color w:val="auto"/>
          <w:szCs w:val="21"/>
          <w:highlight w:val="none"/>
        </w:rPr>
        <w:t>（以所提供的合同签订之日为准）具有</w:t>
      </w:r>
      <w:r>
        <w:rPr>
          <w:rFonts w:hint="eastAsia" w:ascii="宋体" w:hAnsi="宋体" w:cs="宋体"/>
          <w:b/>
          <w:bCs/>
          <w:color w:val="auto"/>
          <w:szCs w:val="21"/>
          <w:highlight w:val="none"/>
        </w:rPr>
        <w:t>煤炭与铁矿制样设备成功投运的业绩</w:t>
      </w:r>
      <w:r>
        <w:rPr>
          <w:rFonts w:hint="eastAsia" w:ascii="宋体" w:hAnsi="宋体" w:cs="宋体"/>
          <w:color w:val="auto"/>
          <w:szCs w:val="21"/>
          <w:highlight w:val="none"/>
        </w:rPr>
        <w:t>（制造商的业绩可作为其授权代理商的业绩，其中必须含锤式破碎机、联合制样机、制样粉碎机）。须提供①合同扫描件(包括合同首页、签字盖章页及能反映供货范围等相关合同内容的关键页)、②</w:t>
      </w:r>
      <w:r>
        <w:rPr>
          <w:rFonts w:hint="eastAsia" w:ascii="宋体" w:hAnsi="宋体" w:cs="宋体"/>
          <w:color w:val="auto"/>
          <w:szCs w:val="21"/>
          <w:highlight w:val="none"/>
          <w:lang w:eastAsia="zh-CN"/>
        </w:rPr>
        <w:t>验收记录</w:t>
      </w:r>
      <w:r>
        <w:rPr>
          <w:rFonts w:hint="eastAsia" w:ascii="宋体" w:hAnsi="宋体" w:cs="宋体"/>
          <w:color w:val="auto"/>
          <w:szCs w:val="21"/>
          <w:highlight w:val="none"/>
        </w:rPr>
        <w:t>、③结算发票扫描件，缺一不可并加盖投标人公章。</w:t>
      </w:r>
    </w:p>
    <w:p w14:paraId="2064DD2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制造商和其代理商不能同时参加投标，否则招标人只接受制造商的投标，其代理商的投标按无效标处理；如同时有两家或以上合法代理商参加投标的，应当作为一个投标人计算，在此种情况下，以制造商对本次招标的唯一指定代理商为准（若代理商均未获得制造商对本次招标的唯一授权，则以报价最低者为准），其余投标按无效标处理。</w:t>
      </w:r>
    </w:p>
    <w:p w14:paraId="6F0113AF">
      <w:pPr>
        <w:adjustRightInd w:val="0"/>
        <w:snapToGrid w:val="0"/>
        <w:ind w:firstLine="420"/>
        <w:rPr>
          <w:rFonts w:hint="eastAsia" w:ascii="宋体" w:hAnsi="宋体" w:eastAsia="宋体" w:cs="宋体"/>
          <w:color w:val="auto"/>
          <w:szCs w:val="21"/>
          <w:highlight w:val="none"/>
        </w:rPr>
      </w:pPr>
      <w:r>
        <w:rPr>
          <w:rFonts w:hint="eastAsia" w:ascii="宋体" w:hAnsi="宋体" w:cs="宋体"/>
          <w:color w:val="auto"/>
          <w:szCs w:val="21"/>
          <w:highlight w:val="none"/>
        </w:rPr>
        <w:t>4.投标人未被列入失信被执行人名单、重大税收违法案件当事人名单、政府采购严重违法失信行为记录名单，信用信息以信用中国网站（www.creditchina.gov.cn）、中国政府采购网（www.ccgp.gov.cn）公布为准。</w:t>
      </w:r>
    </w:p>
    <w:p w14:paraId="0B286C01">
      <w:pPr>
        <w:adjustRightInd w:val="0"/>
        <w:snapToGrid w:val="0"/>
        <w:ind w:firstLine="420"/>
        <w:rPr>
          <w:rFonts w:ascii="宋体" w:hAnsi="宋体" w:cs="宋体"/>
          <w:strike/>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.单位负责人为同一人或者存在控股、管理关系的不同单位，不得参加同一标段投标或者未划分标段的同一项目投标。</w:t>
      </w:r>
    </w:p>
    <w:p w14:paraId="787F3BF8">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.本项目不允许联合体投标和分包转包。</w:t>
      </w:r>
    </w:p>
    <w:p w14:paraId="06BEF558">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五、招标文件的获取</w:t>
      </w:r>
    </w:p>
    <w:p w14:paraId="1DB1D65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本项目采用电子招标投标方式，投标人可访问浙江省海港集团电子招标采购平台，从浙江省海港集团、宁波舟山港集团网站（http://www.zjseaport.com/jtww/）进入阳光工程－电子招标采购平台后进行供应商注册，并下载“浙江海港投标管家”。本项目招标文件和补充（答疑、澄清）、修改文件均通过“浙江海港投标管家”下载。</w:t>
      </w:r>
    </w:p>
    <w:p w14:paraId="3B11A83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 xml:space="preserve">2. </w:t>
      </w:r>
      <w:bookmarkStart w:id="5" w:name="gxebd_docDownloadStartTime_1"/>
      <w:r>
        <w:rPr>
          <w:rFonts w:hint="eastAsia" w:ascii="宋体" w:hAnsi="宋体" w:cs="宋体"/>
          <w:color w:val="auto"/>
          <w:szCs w:val="21"/>
          <w:highlight w:val="none"/>
        </w:rPr>
        <w:t xml:space="preserve">招标文件下载时间：2026年  月  日 </w:t>
      </w:r>
      <w:bookmarkEnd w:id="5"/>
      <w:r>
        <w:rPr>
          <w:rFonts w:hint="eastAsia" w:ascii="宋体" w:hAnsi="宋体" w:cs="宋体"/>
          <w:color w:val="auto"/>
          <w:szCs w:val="21"/>
          <w:highlight w:val="none"/>
        </w:rPr>
        <w:t>至</w:t>
      </w:r>
      <w:bookmarkStart w:id="6" w:name="gxebd_docDownloadEndTime_1"/>
      <w:r>
        <w:rPr>
          <w:rFonts w:hint="eastAsia" w:ascii="宋体" w:hAnsi="宋体" w:cs="宋体"/>
          <w:color w:val="auto"/>
          <w:szCs w:val="21"/>
          <w:highlight w:val="none"/>
        </w:rPr>
        <w:t>2026年  月  日  时  分</w:t>
      </w:r>
      <w:bookmarkEnd w:id="6"/>
      <w:r>
        <w:rPr>
          <w:rFonts w:hint="eastAsia" w:ascii="宋体" w:hAnsi="宋体" w:cs="宋体"/>
          <w:color w:val="auto"/>
          <w:szCs w:val="21"/>
          <w:highlight w:val="none"/>
        </w:rPr>
        <w:t>。</w:t>
      </w:r>
    </w:p>
    <w:p w14:paraId="1959DE84">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未取得浙江省海港集团电子招标采购平台数字证书的投标人，投标前应先办理浙江省海港集团电子招标采购平台CA数字证书，具体办理指南及下载链接请至浙江省海港集团电子招标采购平台进行查看。</w:t>
      </w:r>
    </w:p>
    <w:p w14:paraId="01E2493C">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六、投标保证金</w:t>
      </w:r>
    </w:p>
    <w:p w14:paraId="32DDFA28">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金额：</w:t>
      </w:r>
      <w:r>
        <w:rPr>
          <w:rFonts w:hint="eastAsia" w:ascii="宋体" w:hAnsi="宋体" w:cs="宋体"/>
          <w:b/>
          <w:bCs/>
          <w:color w:val="auto"/>
          <w:kern w:val="0"/>
          <w:szCs w:val="21"/>
          <w:highlight w:val="none"/>
        </w:rPr>
        <w:t>人民币大写</w:t>
      </w:r>
      <w:r>
        <w:rPr>
          <w:rFonts w:hint="eastAsia" w:ascii="宋体" w:hAnsi="宋体" w:cs="宋体"/>
          <w:b/>
          <w:bCs/>
          <w:color w:val="auto"/>
          <w:kern w:val="0"/>
          <w:szCs w:val="21"/>
          <w:highlight w:val="none"/>
          <w:u w:val="single"/>
          <w:lang w:eastAsia="zh-CN"/>
        </w:rPr>
        <w:t>壹万肆仟陆佰元</w:t>
      </w:r>
      <w:r>
        <w:rPr>
          <w:rFonts w:hint="eastAsia" w:ascii="宋体" w:hAnsi="宋体" w:cs="宋体"/>
          <w:b/>
          <w:bCs/>
          <w:color w:val="auto"/>
          <w:kern w:val="0"/>
          <w:szCs w:val="21"/>
          <w:highlight w:val="none"/>
        </w:rPr>
        <w:t>整（小写：¥</w:t>
      </w:r>
      <w:r>
        <w:rPr>
          <w:rFonts w:hint="eastAsia" w:ascii="宋体" w:hAnsi="宋体" w:cs="宋体"/>
          <w:b/>
          <w:bCs/>
          <w:color w:val="auto"/>
          <w:kern w:val="0"/>
          <w:szCs w:val="21"/>
          <w:highlight w:val="none"/>
          <w:lang w:eastAsia="zh-CN"/>
        </w:rPr>
        <w:t>14600</w:t>
      </w:r>
      <w:r>
        <w:rPr>
          <w:rFonts w:hint="eastAsia" w:ascii="宋体" w:hAnsi="宋体" w:cs="宋体"/>
          <w:b/>
          <w:bCs/>
          <w:color w:val="auto"/>
          <w:kern w:val="0"/>
          <w:szCs w:val="21"/>
          <w:highlight w:val="none"/>
          <w:u w:val="single"/>
        </w:rPr>
        <w:t>.00</w:t>
      </w:r>
      <w:r>
        <w:rPr>
          <w:rFonts w:hint="eastAsia" w:ascii="宋体" w:hAnsi="宋体" w:cs="宋体"/>
          <w:b/>
          <w:bCs/>
          <w:color w:val="auto"/>
          <w:kern w:val="0"/>
          <w:szCs w:val="21"/>
          <w:highlight w:val="none"/>
        </w:rPr>
        <w:t>）</w:t>
      </w:r>
      <w:r>
        <w:rPr>
          <w:rFonts w:hint="eastAsia" w:ascii="宋体" w:hAnsi="宋体" w:cs="宋体"/>
          <w:color w:val="auto"/>
          <w:szCs w:val="21"/>
          <w:highlight w:val="none"/>
        </w:rPr>
        <w:t>。</w:t>
      </w:r>
    </w:p>
    <w:p w14:paraId="683DAA6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投标人应于</w:t>
      </w:r>
      <w:bookmarkStart w:id="7" w:name="gxebd_bidBoundEndTime_1"/>
      <w:r>
        <w:rPr>
          <w:rFonts w:hint="eastAsia" w:ascii="宋体" w:hAnsi="宋体" w:cs="宋体"/>
          <w:color w:val="auto"/>
          <w:szCs w:val="21"/>
          <w:highlight w:val="none"/>
        </w:rPr>
        <w:t>2026年  月  日  时</w:t>
      </w:r>
      <w:bookmarkEnd w:id="7"/>
      <w:r>
        <w:rPr>
          <w:rFonts w:hint="eastAsia" w:ascii="宋体" w:hAnsi="宋体" w:cs="宋体"/>
          <w:color w:val="auto"/>
          <w:szCs w:val="21"/>
          <w:highlight w:val="none"/>
        </w:rPr>
        <w:t xml:space="preserve">  分前通过浙江省海港集团电子招标采购平台汇入指定账户、，否则视为投标保证金无效。</w:t>
      </w:r>
    </w:p>
    <w:p w14:paraId="733A03B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投标保证金须通过投标单位银行基本账户汇入、，否则视为投标保证金无效。</w:t>
      </w:r>
    </w:p>
    <w:p w14:paraId="1FB3C50D">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七、投标截止时间和地点</w:t>
      </w:r>
    </w:p>
    <w:p w14:paraId="258BD4ED">
      <w:pPr>
        <w:adjustRightInd w:val="0"/>
        <w:snapToGrid w:val="0"/>
        <w:ind w:firstLine="422"/>
        <w:rPr>
          <w:rFonts w:ascii="宋体" w:hAnsi="宋体" w:cs="宋体"/>
          <w:color w:val="auto"/>
          <w:szCs w:val="21"/>
          <w:highlight w:val="none"/>
        </w:rPr>
      </w:pPr>
      <w:r>
        <w:rPr>
          <w:rFonts w:hint="eastAsia" w:ascii="宋体" w:hAnsi="宋体" w:cs="宋体"/>
          <w:b/>
          <w:bCs/>
          <w:color w:val="auto"/>
          <w:szCs w:val="21"/>
          <w:highlight w:val="none"/>
        </w:rPr>
        <w:t>1. 投标文件递交截止时间：</w:t>
      </w:r>
      <w:bookmarkStart w:id="8" w:name="gxebd_submitEndDate_1"/>
      <w:r>
        <w:rPr>
          <w:rFonts w:hint="eastAsia" w:ascii="宋体" w:hAnsi="宋体" w:cs="宋体"/>
          <w:b/>
          <w:bCs/>
          <w:color w:val="auto"/>
          <w:szCs w:val="21"/>
          <w:highlight w:val="none"/>
        </w:rPr>
        <w:t>2026年  月  日  时  分</w:t>
      </w:r>
      <w:bookmarkEnd w:id="8"/>
      <w:r>
        <w:rPr>
          <w:rFonts w:hint="eastAsia" w:ascii="宋体" w:hAnsi="宋体" w:cs="宋体"/>
          <w:b/>
          <w:bCs/>
          <w:color w:val="auto"/>
          <w:szCs w:val="21"/>
          <w:highlight w:val="none"/>
        </w:rPr>
        <w:t>。</w:t>
      </w:r>
    </w:p>
    <w:p w14:paraId="234995F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投标文件递交方式：</w:t>
      </w:r>
    </w:p>
    <w:p w14:paraId="5AF66CC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线上递交方式（投标管家工具）：投标人在投标文件递交时间截止前（</w:t>
      </w:r>
      <w:bookmarkStart w:id="9" w:name="gxebd_submitEndDate_2"/>
      <w:r>
        <w:rPr>
          <w:rFonts w:hint="eastAsia" w:ascii="宋体" w:hAnsi="宋体" w:cs="宋体"/>
          <w:color w:val="auto"/>
          <w:szCs w:val="21"/>
          <w:highlight w:val="none"/>
        </w:rPr>
        <w:t>2026年  月  日  时  分</w:t>
      </w:r>
      <w:bookmarkEnd w:id="9"/>
      <w:r>
        <w:rPr>
          <w:rFonts w:hint="eastAsia" w:ascii="宋体" w:hAnsi="宋体" w:cs="宋体"/>
          <w:color w:val="auto"/>
          <w:szCs w:val="21"/>
          <w:highlight w:val="none"/>
        </w:rPr>
        <w:t xml:space="preserve">），将电子投标文件加密后递交至电子招标采购平台。 </w:t>
      </w:r>
    </w:p>
    <w:p w14:paraId="4673C367">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八、开标时间地点及注意事项</w:t>
      </w:r>
    </w:p>
    <w:p w14:paraId="65DA69E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本项目将于</w:t>
      </w:r>
      <w:bookmarkStart w:id="10" w:name="gxebd_submitEndDate_3"/>
      <w:r>
        <w:rPr>
          <w:rFonts w:hint="eastAsia" w:ascii="宋体" w:hAnsi="宋体" w:cs="宋体"/>
          <w:color w:val="auto"/>
          <w:szCs w:val="21"/>
          <w:highlight w:val="none"/>
        </w:rPr>
        <w:t>2026年  月  日  时  分</w:t>
      </w:r>
      <w:bookmarkEnd w:id="10"/>
      <w:r>
        <w:rPr>
          <w:rFonts w:hint="eastAsia" w:ascii="宋体" w:hAnsi="宋体" w:cs="宋体"/>
          <w:color w:val="auto"/>
          <w:szCs w:val="21"/>
          <w:highlight w:val="none"/>
        </w:rPr>
        <w:t>在温州市鹿城区瓯江路海港大厦1幢2楼招标采购中心在线公开开标。</w:t>
      </w:r>
    </w:p>
    <w:p w14:paraId="2F1888EF">
      <w:pPr>
        <w:adjustRightInd w:val="0"/>
        <w:snapToGrid w:val="0"/>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注意事项：</w:t>
      </w:r>
    </w:p>
    <w:p w14:paraId="6C557BF3">
      <w:pPr>
        <w:numPr>
          <w:ilvl w:val="0"/>
          <w:numId w:val="0"/>
        </w:num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★1、本项目采用两步开标法，第一阶段先开启各投标人投标文件中的“资审文件 ”及“商务技术标 ”，第二阶段待“资审文件 ”及“商务技术标 ”完成评审公布结果后，开启各投标人的“价格标 ”。</w:t>
      </w:r>
    </w:p>
    <w:p w14:paraId="1C28F586">
      <w:pPr>
        <w:numPr>
          <w:ilvl w:val="0"/>
          <w:numId w:val="0"/>
        </w:num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★2、各投标人提交的投标文件中的“资审文件 ”及“商务技术标 ”不允许出现本项目的“价格标 ”内容及投标报价，否则作无效标处理。</w:t>
      </w:r>
    </w:p>
    <w:p w14:paraId="6BF7CC90">
      <w:pPr>
        <w:numPr>
          <w:ilvl w:val="0"/>
          <w:numId w:val="0"/>
        </w:numPr>
        <w:adjustRightInd w:val="0"/>
        <w:snapToGrid w:val="0"/>
        <w:ind w:firstLine="422"/>
        <w:rPr>
          <w:rFonts w:ascii="宋体" w:hAnsi="宋体" w:cs="宋体"/>
          <w:b w:val="0"/>
          <w:bCs w:val="0"/>
          <w:color w:val="auto"/>
          <w:szCs w:val="21"/>
          <w:highlight w:val="none"/>
        </w:rPr>
      </w:pPr>
      <w:r>
        <w:rPr>
          <w:rFonts w:ascii="宋体" w:hAnsi="宋体" w:eastAsia="宋体" w:cs="宋体"/>
          <w:b w:val="0"/>
          <w:bCs w:val="0"/>
          <w:color w:val="auto"/>
          <w:kern w:val="2"/>
          <w:sz w:val="21"/>
          <w:szCs w:val="21"/>
          <w:highlight w:val="none"/>
          <w:lang w:val="en-US" w:eastAsia="zh-CN" w:bidi="ar-SA"/>
        </w:rPr>
        <w:t>3</w:t>
      </w:r>
      <w:r>
        <w:rPr>
          <w:rFonts w:hint="eastAsia" w:ascii="宋体" w:hAnsi="宋体" w:cs="宋体"/>
          <w:b w:val="0"/>
          <w:bCs w:val="0"/>
          <w:color w:val="auto"/>
          <w:kern w:val="2"/>
          <w:sz w:val="21"/>
          <w:szCs w:val="21"/>
          <w:highlight w:val="none"/>
          <w:lang w:val="en-US" w:eastAsia="zh-CN" w:bidi="ar-SA"/>
        </w:rPr>
        <w:t>、</w:t>
      </w:r>
      <w:r>
        <w:rPr>
          <w:rFonts w:hint="eastAsia" w:ascii="宋体" w:hAnsi="宋体" w:cs="宋体"/>
          <w:b w:val="0"/>
          <w:bCs w:val="0"/>
          <w:color w:val="auto"/>
          <w:szCs w:val="21"/>
          <w:highlight w:val="none"/>
        </w:rPr>
        <w:t>投标人于投标截止时间之后三十分钟内在“浙江海港投标管家”工具端—进入项目—开标—远程开标模块，点击“确认开标结果”按钮进行确认，如超时未确认，视作投标人已对开标结果确认无误；</w:t>
      </w:r>
    </w:p>
    <w:p w14:paraId="564CD073">
      <w:pPr>
        <w:adjustRightInd w:val="0"/>
        <w:snapToGrid w:val="0"/>
        <w:ind w:firstLine="422"/>
        <w:rPr>
          <w:rFonts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cs="宋体"/>
          <w:b w:val="0"/>
          <w:bCs w:val="0"/>
          <w:color w:val="auto"/>
          <w:szCs w:val="21"/>
          <w:highlight w:val="none"/>
        </w:rPr>
        <w:t>本项目采用电子招标，中标单位须在明确中标后、获取中标通知书前将相应的交易服务费缴入平台指定的集团账户（在“投标管家”工具中查看），具体收费标准详见招标文件或平台公告。</w:t>
      </w:r>
    </w:p>
    <w:p w14:paraId="655B6921">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九、联系方式</w:t>
      </w:r>
    </w:p>
    <w:p w14:paraId="34B6942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1、招标人信息</w:t>
      </w:r>
    </w:p>
    <w:p w14:paraId="7BC0321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名 称：温州港南岳港务有限公司</w:t>
      </w:r>
    </w:p>
    <w:p w14:paraId="7BA9E88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地 址：浙江省温州市乐清市乐清湾港区沙港路1号</w:t>
      </w:r>
    </w:p>
    <w:p w14:paraId="6F0CD63A">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朱</w:t>
      </w:r>
      <w:bookmarkStart w:id="73" w:name="_GoBack"/>
      <w:bookmarkEnd w:id="73"/>
      <w:r>
        <w:rPr>
          <w:rFonts w:hint="eastAsia" w:ascii="宋体" w:hAnsi="宋体" w:cs="宋体"/>
          <w:color w:val="auto"/>
          <w:szCs w:val="21"/>
          <w:highlight w:val="none"/>
        </w:rPr>
        <w:t>先生</w:t>
      </w:r>
    </w:p>
    <w:p w14:paraId="38564F4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联系方式：0577-55110552</w:t>
      </w:r>
    </w:p>
    <w:p w14:paraId="24652C3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2、招标代理机构信息</w:t>
      </w:r>
    </w:p>
    <w:p w14:paraId="485C99E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名 称：华信咨询设计研究院有限公司</w:t>
      </w:r>
    </w:p>
    <w:p w14:paraId="36BCCE1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地 址：杭州市滨江区春波路999号</w:t>
      </w:r>
    </w:p>
    <w:p w14:paraId="04E6FF3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联系人：尚云飞、羊奕杭、王鑫霖</w:t>
      </w:r>
    </w:p>
    <w:p w14:paraId="2AE4A9C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联系方式：15225996022、15257143905</w:t>
      </w:r>
    </w:p>
    <w:p w14:paraId="6677240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异议信息反馈电话/邮箱：18758271840/328814049@qq.com</w:t>
      </w:r>
    </w:p>
    <w:p w14:paraId="48A552B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3、招标监督部门：温州港南岳港务有限公司纪检小组</w:t>
      </w:r>
    </w:p>
    <w:p w14:paraId="1F1C4E52">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投诉联系电话：0577-55110537</w:t>
      </w:r>
    </w:p>
    <w:p w14:paraId="1FEB0E6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4、电子招标采购平台咨询电话：0574—27680520</w:t>
      </w:r>
    </w:p>
    <w:p w14:paraId="54814A61">
      <w:pPr>
        <w:adjustRightInd w:val="0"/>
        <w:snapToGrid w:val="0"/>
        <w:ind w:firstLine="420"/>
        <w:jc w:val="left"/>
        <w:rPr>
          <w:rFonts w:ascii="宋体" w:hAnsi="宋体" w:cs="宋体"/>
          <w:color w:val="auto"/>
          <w:szCs w:val="21"/>
          <w:highlight w:val="none"/>
        </w:rPr>
      </w:pPr>
      <w:r>
        <w:rPr>
          <w:rFonts w:hint="eastAsia" w:ascii="宋体" w:hAnsi="宋体" w:cs="宋体"/>
          <w:color w:val="auto"/>
          <w:szCs w:val="21"/>
          <w:highlight w:val="none"/>
        </w:rPr>
        <w:t>5、CA咨询热线：400—666—4230</w:t>
      </w:r>
      <w:bookmarkStart w:id="11" w:name="_Toc20860"/>
      <w:bookmarkStart w:id="12" w:name="_Toc8555"/>
    </w:p>
    <w:p w14:paraId="66986833">
      <w:pPr>
        <w:pStyle w:val="2"/>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第二章  招标需求</w:t>
      </w:r>
      <w:bookmarkEnd w:id="11"/>
      <w:bookmarkEnd w:id="12"/>
    </w:p>
    <w:p w14:paraId="4CE7B08C">
      <w:pPr>
        <w:spacing w:before="156" w:beforeLines="50" w:after="156" w:afterLines="50"/>
        <w:ind w:firstLine="420"/>
        <w:outlineLvl w:val="1"/>
        <w:rPr>
          <w:rFonts w:ascii="宋体" w:hAnsi="宋体" w:cs="宋体"/>
          <w:b/>
          <w:color w:val="auto"/>
          <w:kern w:val="0"/>
          <w:szCs w:val="21"/>
          <w:highlight w:val="none"/>
        </w:rPr>
      </w:pPr>
      <w:bookmarkStart w:id="13" w:name="_Toc21325"/>
      <w:r>
        <w:rPr>
          <w:rFonts w:hint="eastAsia" w:ascii="宋体" w:hAnsi="宋体" w:cs="宋体"/>
          <w:color w:val="auto"/>
          <w:kern w:val="0"/>
          <w:szCs w:val="21"/>
          <w:highlight w:val="none"/>
        </w:rPr>
        <w:t>一</w:t>
      </w:r>
      <w:r>
        <w:rPr>
          <w:rFonts w:hint="eastAsia" w:ascii="宋体" w:hAnsi="宋体" w:cs="宋体"/>
          <w:b/>
          <w:color w:val="auto"/>
          <w:kern w:val="0"/>
          <w:szCs w:val="21"/>
          <w:highlight w:val="none"/>
        </w:rPr>
        <w:t>、招标内容</w:t>
      </w:r>
    </w:p>
    <w:tbl>
      <w:tblPr>
        <w:tblStyle w:val="41"/>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773C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100C95BF">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招标内容</w:t>
            </w:r>
          </w:p>
        </w:tc>
        <w:tc>
          <w:tcPr>
            <w:tcW w:w="7195" w:type="dxa"/>
            <w:tcBorders>
              <w:top w:val="single" w:color="auto" w:sz="4" w:space="0"/>
              <w:left w:val="single" w:color="auto" w:sz="4" w:space="0"/>
              <w:bottom w:val="single" w:color="auto" w:sz="4" w:space="0"/>
              <w:right w:val="single" w:color="auto" w:sz="4" w:space="0"/>
            </w:tcBorders>
            <w:vAlign w:val="center"/>
          </w:tcPr>
          <w:p w14:paraId="554DEE6F">
            <w:pPr>
              <w:ind w:firstLine="0" w:firstLineChars="0"/>
              <w:jc w:val="left"/>
              <w:rPr>
                <w:rFonts w:ascii="宋体" w:hAnsi="宋体" w:cs="宋体"/>
                <w:color w:val="auto"/>
                <w:szCs w:val="21"/>
                <w:highlight w:val="none"/>
              </w:rPr>
            </w:pPr>
            <w:r>
              <w:rPr>
                <w:rFonts w:hint="eastAsia" w:ascii="宋体" w:hAnsi="宋体" w:cs="宋体"/>
                <w:color w:val="auto"/>
                <w:szCs w:val="21"/>
                <w:highlight w:val="none"/>
              </w:rPr>
              <w:t>温州港南岳港务有限公司煤炭、铁矿制样设备采购。</w:t>
            </w:r>
          </w:p>
        </w:tc>
      </w:tr>
    </w:tbl>
    <w:p w14:paraId="08715F5A">
      <w:pPr>
        <w:spacing w:before="156" w:beforeLines="50" w:after="156" w:afterLines="50"/>
        <w:ind w:firstLine="422"/>
        <w:outlineLvl w:val="1"/>
        <w:rPr>
          <w:rFonts w:ascii="宋体" w:hAnsi="宋体" w:cs="宋体"/>
          <w:b/>
          <w:bCs/>
          <w:color w:val="auto"/>
          <w:kern w:val="0"/>
          <w:szCs w:val="21"/>
          <w:highlight w:val="none"/>
        </w:rPr>
      </w:pPr>
      <w:bookmarkStart w:id="14" w:name="_Toc50128376"/>
      <w:r>
        <w:rPr>
          <w:rFonts w:hint="eastAsia" w:ascii="宋体" w:hAnsi="宋体" w:cs="宋体"/>
          <w:b/>
          <w:bCs/>
          <w:color w:val="auto"/>
          <w:kern w:val="0"/>
          <w:szCs w:val="21"/>
          <w:highlight w:val="none"/>
        </w:rPr>
        <w:t>二、商务要求</w:t>
      </w:r>
    </w:p>
    <w:tbl>
      <w:tblPr>
        <w:tblStyle w:val="41"/>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506D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72F32908">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质保期</w:t>
            </w:r>
          </w:p>
        </w:tc>
        <w:tc>
          <w:tcPr>
            <w:tcW w:w="7195" w:type="dxa"/>
            <w:tcBorders>
              <w:top w:val="single" w:color="auto" w:sz="4" w:space="0"/>
              <w:left w:val="single" w:color="auto" w:sz="4" w:space="0"/>
              <w:bottom w:val="single" w:color="auto" w:sz="4" w:space="0"/>
              <w:right w:val="single" w:color="auto" w:sz="4" w:space="0"/>
            </w:tcBorders>
            <w:vAlign w:val="center"/>
          </w:tcPr>
          <w:p w14:paraId="2C61FABE">
            <w:pPr>
              <w:ind w:firstLine="0" w:firstLineChars="0"/>
              <w:jc w:val="left"/>
              <w:rPr>
                <w:rFonts w:ascii="宋体" w:hAnsi="宋体" w:cs="宋体"/>
                <w:color w:val="auto"/>
                <w:szCs w:val="21"/>
                <w:highlight w:val="none"/>
              </w:rPr>
            </w:pPr>
            <w:r>
              <w:rPr>
                <w:rFonts w:hint="eastAsia" w:ascii="宋体" w:hAnsi="宋体" w:cs="宋体"/>
                <w:color w:val="auto"/>
                <w:szCs w:val="21"/>
                <w:highlight w:val="none"/>
              </w:rPr>
              <w:t>自招标人验收合格后起计，所有设备及其配套辅件质保期至少为12个月。</w:t>
            </w:r>
          </w:p>
          <w:p w14:paraId="08126A8C">
            <w:pPr>
              <w:ind w:firstLine="0" w:firstLineChars="0"/>
              <w:jc w:val="left"/>
              <w:rPr>
                <w:color w:val="auto"/>
                <w:highlight w:val="none"/>
              </w:rPr>
            </w:pPr>
            <w:r>
              <w:rPr>
                <w:rFonts w:hint="eastAsia" w:ascii="宋体" w:hAnsi="宋体" w:cs="宋体"/>
                <w:color w:val="auto"/>
                <w:szCs w:val="21"/>
                <w:highlight w:val="none"/>
              </w:rPr>
              <w:t>质保期内因产品材料、工艺、制造质量问题发生故障、损坏的，中标人须免费维修、免费更换，产生的人工、交通、耗材、运输等全部费用由中标人承担</w:t>
            </w:r>
            <w:r>
              <w:rPr>
                <w:rFonts w:hint="eastAsia" w:ascii="宋体" w:hAnsi="宋体" w:eastAsia="宋体" w:cs="宋体"/>
                <w:color w:val="auto"/>
                <w:szCs w:val="21"/>
                <w:highlight w:val="none"/>
              </w:rPr>
              <w:t>。如整机维修更换，则质保期自维修完成之日重新起计，如维修更换配件，则配件的质保期自维修完成之日重新起计。</w:t>
            </w:r>
          </w:p>
        </w:tc>
      </w:tr>
      <w:tr w14:paraId="4F23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1F4625F6">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★交货期及交货地点</w:t>
            </w:r>
          </w:p>
        </w:tc>
        <w:tc>
          <w:tcPr>
            <w:tcW w:w="7195" w:type="dxa"/>
            <w:tcBorders>
              <w:top w:val="single" w:color="auto" w:sz="4" w:space="0"/>
              <w:left w:val="single" w:color="auto" w:sz="4" w:space="0"/>
              <w:bottom w:val="single" w:color="auto" w:sz="4" w:space="0"/>
              <w:right w:val="single" w:color="auto" w:sz="4" w:space="0"/>
            </w:tcBorders>
            <w:vAlign w:val="center"/>
          </w:tcPr>
          <w:p w14:paraId="15BDB7E1">
            <w:pPr>
              <w:ind w:firstLine="0" w:firstLineChars="0"/>
              <w:jc w:val="left"/>
              <w:rPr>
                <w:rFonts w:ascii="宋体" w:hAnsi="宋体" w:cs="宋体"/>
                <w:color w:val="auto"/>
                <w:szCs w:val="21"/>
                <w:highlight w:val="none"/>
              </w:rPr>
            </w:pPr>
            <w:r>
              <w:rPr>
                <w:rFonts w:hint="eastAsia" w:ascii="宋体" w:hAnsi="宋体" w:cs="宋体"/>
                <w:color w:val="auto"/>
                <w:szCs w:val="21"/>
                <w:highlight w:val="none"/>
              </w:rPr>
              <w:t>交货期：</w:t>
            </w:r>
            <w:r>
              <w:rPr>
                <w:rFonts w:hint="eastAsia" w:ascii="宋体" w:hAnsi="宋体" w:cs="宋体"/>
                <w:color w:val="auto"/>
                <w:szCs w:val="21"/>
                <w:highlight w:val="none"/>
                <w:lang w:eastAsia="zh-CN"/>
              </w:rPr>
              <w:t>接招标人书面通知之日起40日历天内完成供货及就位调试，并通过招标人验收</w:t>
            </w:r>
            <w:r>
              <w:rPr>
                <w:rFonts w:hint="eastAsia" w:ascii="宋体" w:hAnsi="宋体" w:cs="宋体"/>
                <w:color w:val="auto"/>
                <w:szCs w:val="21"/>
                <w:highlight w:val="none"/>
              </w:rPr>
              <w:t>。</w:t>
            </w:r>
          </w:p>
          <w:p w14:paraId="2E660046">
            <w:pPr>
              <w:ind w:firstLine="0" w:firstLineChars="0"/>
              <w:jc w:val="left"/>
              <w:rPr>
                <w:rFonts w:ascii="宋体" w:hAnsi="宋体" w:cs="宋体"/>
                <w:color w:val="auto"/>
                <w:szCs w:val="21"/>
                <w:highlight w:val="none"/>
              </w:rPr>
            </w:pPr>
            <w:r>
              <w:rPr>
                <w:rFonts w:hint="eastAsia" w:ascii="宋体" w:hAnsi="宋体" w:cs="宋体"/>
                <w:color w:val="auto"/>
                <w:szCs w:val="21"/>
                <w:highlight w:val="none"/>
              </w:rPr>
              <w:t>交货地点：浙江省温州市乐清市乐清湾港区沙港路1号，</w:t>
            </w:r>
            <w:r>
              <w:rPr>
                <w:rFonts w:hint="eastAsia" w:ascii="宋体" w:hAnsi="宋体" w:cs="宋体"/>
                <w:bCs/>
                <w:color w:val="auto"/>
                <w:kern w:val="0"/>
                <w:szCs w:val="21"/>
                <w:highlight w:val="none"/>
              </w:rPr>
              <w:t>温州港南岳港务有限公司</w:t>
            </w:r>
            <w:r>
              <w:rPr>
                <w:rFonts w:hint="eastAsia" w:ascii="宋体" w:hAnsi="宋体" w:cs="宋体"/>
                <w:color w:val="auto"/>
                <w:kern w:val="0"/>
                <w:szCs w:val="21"/>
                <w:highlight w:val="none"/>
              </w:rPr>
              <w:t>。</w:t>
            </w:r>
          </w:p>
        </w:tc>
      </w:tr>
      <w:tr w14:paraId="0A33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2E55C259">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★付款条件</w:t>
            </w:r>
          </w:p>
        </w:tc>
        <w:tc>
          <w:tcPr>
            <w:tcW w:w="7195" w:type="dxa"/>
            <w:tcBorders>
              <w:top w:val="single" w:color="auto" w:sz="4" w:space="0"/>
              <w:left w:val="single" w:color="auto" w:sz="4" w:space="0"/>
              <w:bottom w:val="single" w:color="auto" w:sz="4" w:space="0"/>
              <w:right w:val="single" w:color="auto" w:sz="4" w:space="0"/>
            </w:tcBorders>
            <w:vAlign w:val="center"/>
          </w:tcPr>
          <w:p w14:paraId="4CA2F2C3">
            <w:pPr>
              <w:pStyle w:val="11"/>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1、双方的全部往来结算方式，均凭正式发票或收据通过银行转账方式进行结算，不采取现金结算。</w:t>
            </w:r>
          </w:p>
          <w:p w14:paraId="597F157E">
            <w:pPr>
              <w:pStyle w:val="11"/>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中标人在合同签订之前须向招标人提交合同总价5%的履约保证金，并且要保证履约保证金在合同履行期间的有效性；履约保证金在验收合格后，并收到中标人开具的收据后，招标人在30个日历天内无息向中标人退还。</w:t>
            </w:r>
          </w:p>
          <w:p w14:paraId="0B55FBAB">
            <w:pPr>
              <w:pStyle w:val="11"/>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招标人收到货物且验收合格且收到全额增值税货物销售专用发票（税率13%）后，30天内支付已实际交付货物货款总价的95%；其余作为质保金待质保期满后30天内支付，如质保期内产品出现质量问题，则待质量问题彻底解决后再支付。</w:t>
            </w:r>
          </w:p>
        </w:tc>
      </w:tr>
      <w:tr w14:paraId="084A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041033CA">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合同签订</w:t>
            </w:r>
          </w:p>
        </w:tc>
        <w:tc>
          <w:tcPr>
            <w:tcW w:w="7195" w:type="dxa"/>
            <w:tcBorders>
              <w:top w:val="single" w:color="auto" w:sz="4" w:space="0"/>
              <w:left w:val="single" w:color="auto" w:sz="4" w:space="0"/>
              <w:bottom w:val="single" w:color="auto" w:sz="4" w:space="0"/>
              <w:right w:val="single" w:color="auto" w:sz="4" w:space="0"/>
            </w:tcBorders>
            <w:vAlign w:val="center"/>
          </w:tcPr>
          <w:p w14:paraId="5B0B56E8">
            <w:pPr>
              <w:pStyle w:val="11"/>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本项目最终合同由招标人与中标人签订。</w:t>
            </w:r>
          </w:p>
        </w:tc>
      </w:tr>
      <w:tr w14:paraId="7902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4EAF859A">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★知识产权</w:t>
            </w:r>
          </w:p>
        </w:tc>
        <w:tc>
          <w:tcPr>
            <w:tcW w:w="7195" w:type="dxa"/>
            <w:tcBorders>
              <w:top w:val="single" w:color="auto" w:sz="4" w:space="0"/>
              <w:left w:val="single" w:color="auto" w:sz="4" w:space="0"/>
              <w:bottom w:val="single" w:color="auto" w:sz="4" w:space="0"/>
              <w:right w:val="single" w:color="auto" w:sz="4" w:space="0"/>
            </w:tcBorders>
            <w:vAlign w:val="center"/>
          </w:tcPr>
          <w:p w14:paraId="1731ACEC">
            <w:pPr>
              <w:pStyle w:val="11"/>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中标人应使招标人在中国使用其产品或其任何部分过程中，免受第三方因专利权、商标或工业设计的侵权行为而提出赔偿要求。如果任何第三方提出侵权损失赔偿的要求，中标人应把同第三方的纠纷承接过去并负担由此而造成的一切法律和经济责任。</w:t>
            </w:r>
          </w:p>
        </w:tc>
      </w:tr>
      <w:bookmarkEnd w:id="14"/>
    </w:tbl>
    <w:p w14:paraId="504760AA">
      <w:pPr>
        <w:spacing w:before="156" w:beforeLines="50"/>
        <w:ind w:firstLine="422"/>
        <w:outlineLvl w:val="1"/>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rPr>
        <w:t>三、</w:t>
      </w:r>
      <w:r>
        <w:rPr>
          <w:rFonts w:hint="eastAsia" w:ascii="宋体" w:hAnsi="宋体" w:cs="宋体"/>
          <w:b/>
          <w:bCs/>
          <w:color w:val="auto"/>
          <w:kern w:val="0"/>
          <w:szCs w:val="21"/>
          <w:highlight w:val="none"/>
          <w:lang w:val="en-US" w:eastAsia="zh-CN"/>
        </w:rPr>
        <w:t>技</w:t>
      </w:r>
      <w:r>
        <w:rPr>
          <w:rFonts w:hint="eastAsia" w:ascii="宋体" w:hAnsi="宋体" w:eastAsia="宋体" w:cs="宋体"/>
          <w:b/>
          <w:bCs/>
          <w:color w:val="auto"/>
          <w:kern w:val="0"/>
          <w:highlight w:val="none"/>
          <w:lang w:val="en-US" w:eastAsia="zh-CN"/>
        </w:rPr>
        <w:t>术规范书</w:t>
      </w:r>
    </w:p>
    <w:p w14:paraId="2EAA8649">
      <w:pPr>
        <w:widowControl/>
        <w:autoSpaceDE w:val="0"/>
        <w:autoSpaceDN w:val="0"/>
        <w:ind w:left="420" w:leftChars="200" w:firstLine="0" w:firstLineChars="0"/>
        <w:textAlignment w:val="bottom"/>
        <w:outlineLvl w:val="2"/>
        <w:rPr>
          <w:rFonts w:ascii="宋体" w:hAnsi="宋体" w:cs="宋体"/>
          <w:color w:val="auto"/>
          <w:szCs w:val="21"/>
          <w:highlight w:val="none"/>
        </w:rPr>
      </w:pPr>
      <w:r>
        <w:rPr>
          <w:rFonts w:hint="eastAsia" w:ascii="宋体" w:hAnsi="宋体" w:cs="宋体"/>
          <w:b/>
          <w:bCs/>
          <w:color w:val="auto"/>
          <w:szCs w:val="21"/>
          <w:highlight w:val="none"/>
        </w:rPr>
        <w:t>1、总则</w:t>
      </w:r>
    </w:p>
    <w:p w14:paraId="4FA68729">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1）投标人须实质性地响应本技术规范书的技术规定和要求，提供功能齐全的、成套供货的优质产品及其相应的技术服务，同时必须满足最新国家和行业关于产品质量、安全、工业卫生、劳动保护、环保、消防等强制性标准的要求。</w:t>
      </w:r>
    </w:p>
    <w:p w14:paraId="788819D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（2）若投标人所提供的投标文件前后有不一致的地方，应以更有利于设备安装运行、工程质量为原则，由招标人确定。</w:t>
      </w:r>
    </w:p>
    <w:p w14:paraId="4F887219">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3）投标人须执行本技术规范书所列标准。有矛盾时，按较高标准执行。投标人在设备设计、制造、检验/试验、装配、安装、调试、试运、验收、运行和维护中所涉及的各项规程、规范和标准必须遵循现行最新版本的标准。</w:t>
      </w:r>
    </w:p>
    <w:p w14:paraId="69CC9BD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（4）合同签订</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个日历天内，按本技术规范书的要求，投标人提出合同设备的设计、制造、检验/试验、装配、安装、调试、验收、运行和维护等</w:t>
      </w:r>
      <w:r>
        <w:rPr>
          <w:rFonts w:hint="eastAsia" w:ascii="宋体" w:hAnsi="宋体" w:cs="宋体"/>
          <w:color w:val="auto"/>
          <w:sz w:val="21"/>
          <w:szCs w:val="21"/>
          <w:highlight w:val="none"/>
          <w:lang w:val="en-US" w:eastAsia="zh-CN"/>
        </w:rPr>
        <w:t>安排计划表</w:t>
      </w:r>
      <w:r>
        <w:rPr>
          <w:rFonts w:hint="eastAsia" w:ascii="宋体" w:hAnsi="宋体" w:cs="宋体"/>
          <w:color w:val="auto"/>
          <w:sz w:val="21"/>
          <w:szCs w:val="21"/>
          <w:highlight w:val="none"/>
        </w:rPr>
        <w:t>给招标人，由招标人确认。</w:t>
      </w:r>
    </w:p>
    <w:p w14:paraId="7EFD7F00">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（5）设备采用的专利及引进技术等涉及到的全部费用均被认为已包含在设备报价中，投标人应保证招标人不承担有关设备专利及知识产权等的一切责任。</w:t>
      </w:r>
    </w:p>
    <w:p w14:paraId="02514BD3">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（6）投标人应提供高质量的设备。该设备应是成熟可靠、技术先进的产品。</w:t>
      </w:r>
    </w:p>
    <w:p w14:paraId="6AB7DBA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（7）在签订合同之后，招标人有权提出因规范标准和规程发生变化而产生的一些补充要求，具体项目由双方共同商定。</w:t>
      </w:r>
    </w:p>
    <w:p w14:paraId="0F275A7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（8）本招标文件为合同的附件，与合同正文具有同等效力。当招标人、投标人双方对本规范书中内容理解不同时，以招标人意见为准。</w:t>
      </w:r>
    </w:p>
    <w:p w14:paraId="71A9268F">
      <w:pPr>
        <w:widowControl/>
        <w:autoSpaceDE w:val="0"/>
        <w:autoSpaceDN w:val="0"/>
        <w:ind w:left="420" w:leftChars="200" w:firstLine="0" w:firstLineChars="0"/>
        <w:textAlignment w:val="bottom"/>
        <w:outlineLvl w:val="2"/>
        <w:rPr>
          <w:rFonts w:ascii="宋体" w:hAnsi="宋体" w:cs="宋体"/>
          <w:color w:val="auto"/>
          <w:szCs w:val="21"/>
          <w:highlight w:val="none"/>
        </w:rPr>
      </w:pPr>
      <w:r>
        <w:rPr>
          <w:rFonts w:hint="eastAsia" w:ascii="宋体" w:hAnsi="宋体" w:cs="宋体"/>
          <w:b/>
          <w:bCs/>
          <w:color w:val="auto"/>
          <w:szCs w:val="21"/>
          <w:highlight w:val="none"/>
        </w:rPr>
        <w:t>2、技术要求</w:t>
      </w:r>
    </w:p>
    <w:p w14:paraId="1B92548A">
      <w:pPr>
        <w:ind w:firstLine="420"/>
        <w:outlineLvl w:val="3"/>
        <w:rPr>
          <w:rFonts w:ascii="宋体" w:hAnsi="宋体" w:cs="宋体"/>
          <w:color w:val="auto"/>
          <w:kern w:val="0"/>
          <w:szCs w:val="21"/>
          <w:highlight w:val="none"/>
        </w:rPr>
      </w:pPr>
      <w:r>
        <w:rPr>
          <w:rFonts w:hint="eastAsia" w:ascii="宋体" w:hAnsi="宋体" w:cs="宋体"/>
          <w:color w:val="auto"/>
          <w:kern w:val="0"/>
          <w:szCs w:val="21"/>
          <w:highlight w:val="none"/>
        </w:rPr>
        <w:t>2.1 规范和标准</w:t>
      </w:r>
    </w:p>
    <w:p w14:paraId="3FCF22D2">
      <w:pPr>
        <w:ind w:firstLine="420"/>
        <w:rPr>
          <w:rFonts w:ascii="宋体" w:hAnsi="宋体" w:cs="宋体"/>
          <w:color w:val="auto"/>
          <w:kern w:val="0"/>
          <w:szCs w:val="21"/>
          <w:highlight w:val="none"/>
        </w:rPr>
      </w:pPr>
      <w:bookmarkStart w:id="15" w:name="_Toc30441"/>
      <w:bookmarkStart w:id="16" w:name="_Toc292460898"/>
      <w:bookmarkStart w:id="17" w:name="_Toc185339292"/>
      <w:bookmarkStart w:id="18" w:name="_Toc256601235"/>
      <w:bookmarkStart w:id="19" w:name="_Toc502626643"/>
      <w:bookmarkStart w:id="20" w:name="_Toc297135182"/>
      <w:r>
        <w:rPr>
          <w:rFonts w:hint="eastAsia" w:ascii="宋体" w:hAnsi="宋体" w:cs="宋体"/>
          <w:color w:val="auto"/>
          <w:kern w:val="0"/>
          <w:szCs w:val="21"/>
          <w:highlight w:val="none"/>
        </w:rPr>
        <w:t>2.1.</w:t>
      </w:r>
      <w:bookmarkEnd w:id="15"/>
      <w:bookmarkEnd w:id="16"/>
      <w:bookmarkEnd w:id="17"/>
      <w:bookmarkEnd w:id="18"/>
      <w:bookmarkEnd w:id="19"/>
      <w:bookmarkEnd w:id="20"/>
      <w:r>
        <w:rPr>
          <w:rFonts w:hint="eastAsia" w:ascii="宋体" w:hAnsi="宋体" w:cs="宋体"/>
          <w:color w:val="auto"/>
          <w:kern w:val="0"/>
          <w:szCs w:val="21"/>
          <w:highlight w:val="none"/>
        </w:rPr>
        <w:t>1所投标的仪器设备均满足有关标准规范</w:t>
      </w:r>
    </w:p>
    <w:p w14:paraId="5F4DB31C">
      <w:pPr>
        <w:ind w:firstLine="420"/>
        <w:rPr>
          <w:rFonts w:ascii="宋体" w:hAnsi="宋体" w:cs="宋体"/>
          <w:color w:val="auto"/>
          <w:kern w:val="0"/>
          <w:szCs w:val="21"/>
          <w:highlight w:val="none"/>
        </w:rPr>
      </w:pPr>
      <w:r>
        <w:rPr>
          <w:rFonts w:hint="eastAsia" w:ascii="宋体" w:hAnsi="宋体" w:cs="宋体"/>
          <w:color w:val="auto"/>
          <w:kern w:val="0"/>
          <w:szCs w:val="21"/>
          <w:highlight w:val="none"/>
        </w:rPr>
        <w:t>GB/T 474-2008      《煤样的制备方法》</w:t>
      </w:r>
    </w:p>
    <w:p w14:paraId="2E5BB6BE">
      <w:pPr>
        <w:ind w:firstLine="420"/>
        <w:rPr>
          <w:rFonts w:ascii="宋体" w:hAnsi="宋体" w:cs="宋体"/>
          <w:color w:val="auto"/>
          <w:kern w:val="0"/>
          <w:szCs w:val="21"/>
          <w:highlight w:val="none"/>
        </w:rPr>
      </w:pPr>
      <w:r>
        <w:rPr>
          <w:rFonts w:hint="eastAsia" w:ascii="宋体" w:hAnsi="宋体" w:cs="宋体"/>
          <w:color w:val="auto"/>
          <w:kern w:val="0"/>
          <w:szCs w:val="21"/>
          <w:highlight w:val="none"/>
        </w:rPr>
        <w:t>GB/T 483-2020</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 xml:space="preserve">   《煤炭分析试验方法一般规定》</w:t>
      </w:r>
    </w:p>
    <w:p w14:paraId="6D567410">
      <w:pPr>
        <w:ind w:firstLine="420"/>
        <w:rPr>
          <w:rFonts w:ascii="宋体" w:hAnsi="宋体" w:cs="宋体"/>
          <w:color w:val="auto"/>
          <w:kern w:val="0"/>
          <w:szCs w:val="21"/>
          <w:highlight w:val="none"/>
        </w:rPr>
      </w:pPr>
      <w:r>
        <w:rPr>
          <w:rFonts w:hint="eastAsia" w:ascii="宋体" w:hAnsi="宋体" w:cs="宋体"/>
          <w:color w:val="auto"/>
          <w:kern w:val="0"/>
          <w:szCs w:val="21"/>
          <w:highlight w:val="none"/>
        </w:rPr>
        <w:t>GB/T 211-2017</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 xml:space="preserve">   《煤中全水分的测定方法》</w:t>
      </w:r>
    </w:p>
    <w:p w14:paraId="1206E075">
      <w:pPr>
        <w:ind w:firstLine="420"/>
        <w:rPr>
          <w:rFonts w:ascii="宋体" w:hAnsi="宋体" w:cs="宋体"/>
          <w:color w:val="auto"/>
          <w:kern w:val="0"/>
          <w:szCs w:val="21"/>
          <w:highlight w:val="none"/>
        </w:rPr>
      </w:pPr>
      <w:r>
        <w:rPr>
          <w:rFonts w:hint="eastAsia" w:ascii="宋体" w:hAnsi="宋体" w:cs="宋体"/>
          <w:color w:val="auto"/>
          <w:kern w:val="0"/>
          <w:szCs w:val="21"/>
          <w:highlight w:val="none"/>
        </w:rPr>
        <w:t>GB/T 212-2021     《煤的工业分析方法》</w:t>
      </w:r>
    </w:p>
    <w:p w14:paraId="5C7C93D0">
      <w:pPr>
        <w:ind w:firstLine="420"/>
        <w:rPr>
          <w:rFonts w:ascii="宋体" w:hAnsi="宋体" w:cs="宋体"/>
          <w:color w:val="auto"/>
          <w:kern w:val="0"/>
          <w:szCs w:val="21"/>
          <w:highlight w:val="none"/>
        </w:rPr>
      </w:pPr>
      <w:r>
        <w:rPr>
          <w:rFonts w:hint="eastAsia" w:ascii="宋体" w:hAnsi="宋体" w:cs="宋体"/>
          <w:color w:val="auto"/>
          <w:kern w:val="0"/>
          <w:szCs w:val="21"/>
          <w:highlight w:val="none"/>
        </w:rPr>
        <w:t>GB_T 10322.1-2023  《铁矿石取样、制样方法》</w:t>
      </w:r>
    </w:p>
    <w:p w14:paraId="0408E519">
      <w:pPr>
        <w:ind w:firstLine="420"/>
        <w:rPr>
          <w:rFonts w:ascii="宋体" w:hAnsi="宋体" w:cs="宋体"/>
          <w:color w:val="auto"/>
          <w:kern w:val="0"/>
          <w:szCs w:val="21"/>
          <w:highlight w:val="none"/>
        </w:rPr>
      </w:pPr>
      <w:r>
        <w:rPr>
          <w:rFonts w:hint="eastAsia" w:ascii="宋体" w:hAnsi="宋体" w:cs="宋体"/>
          <w:color w:val="auto"/>
          <w:kern w:val="0"/>
          <w:szCs w:val="21"/>
          <w:highlight w:val="none"/>
        </w:rPr>
        <w:t>DL/T 5187.2-2016   《火力发电厂运煤设计规程》</w:t>
      </w:r>
    </w:p>
    <w:p w14:paraId="1A1FCEDF">
      <w:pPr>
        <w:spacing w:after="0"/>
        <w:ind w:firstLine="420"/>
        <w:rPr>
          <w:rStyle w:val="50"/>
          <w:color w:val="auto"/>
          <w:highlight w:val="none"/>
        </w:rPr>
      </w:pPr>
      <w:r>
        <w:rPr>
          <w:rFonts w:hint="eastAsia" w:ascii="宋体" w:hAnsi="宋体" w:cs="宋体"/>
          <w:color w:val="auto"/>
          <w:kern w:val="0"/>
          <w:szCs w:val="21"/>
          <w:highlight w:val="none"/>
        </w:rPr>
        <w:t>DL 5053-2012       《火力发电厂劳动安全和工业卫生设计规程》</w:t>
      </w:r>
    </w:p>
    <w:p w14:paraId="13A5530A">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GB 20426-2006</w:t>
      </w:r>
      <w:r>
        <w:rPr>
          <w:rFonts w:hint="eastAsia" w:ascii="宋体" w:hAnsi="宋体" w:eastAsia="宋体" w:cs="宋体"/>
          <w:color w:val="auto"/>
          <w:kern w:val="0"/>
          <w:highlight w:val="none"/>
          <w:lang w:val="en-US" w:eastAsia="zh-CN"/>
        </w:rPr>
        <w:t xml:space="preserve">      </w:t>
      </w:r>
      <w:r>
        <w:rPr>
          <w:rFonts w:hint="eastAsia" w:ascii="宋体" w:hAnsi="宋体" w:eastAsia="宋体" w:cs="宋体"/>
          <w:color w:val="auto"/>
          <w:kern w:val="0"/>
          <w:highlight w:val="none"/>
        </w:rPr>
        <w:t>《煤炭工业污染物排放标准》</w:t>
      </w:r>
    </w:p>
    <w:p w14:paraId="6CCD5073">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GB 28661-2012</w:t>
      </w:r>
      <w:r>
        <w:rPr>
          <w:rFonts w:hint="eastAsia" w:ascii="宋体" w:hAnsi="宋体" w:eastAsia="宋体" w:cs="宋体"/>
          <w:color w:val="auto"/>
          <w:kern w:val="0"/>
          <w:highlight w:val="none"/>
          <w:lang w:val="en-US" w:eastAsia="zh-CN"/>
        </w:rPr>
        <w:t xml:space="preserve">      </w:t>
      </w:r>
      <w:r>
        <w:rPr>
          <w:rFonts w:hint="eastAsia" w:ascii="宋体" w:hAnsi="宋体" w:eastAsia="宋体" w:cs="宋体"/>
          <w:color w:val="auto"/>
          <w:kern w:val="0"/>
          <w:highlight w:val="none"/>
        </w:rPr>
        <w:t>《铁矿采选工业污染物排放标准》</w:t>
      </w:r>
    </w:p>
    <w:p w14:paraId="58FEF151">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GB 28662-2012</w:t>
      </w:r>
      <w:r>
        <w:rPr>
          <w:rFonts w:hint="eastAsia" w:ascii="宋体" w:hAnsi="宋体" w:eastAsia="宋体" w:cs="宋体"/>
          <w:color w:val="auto"/>
          <w:kern w:val="0"/>
          <w:highlight w:val="none"/>
          <w:lang w:val="en-US" w:eastAsia="zh-CN"/>
        </w:rPr>
        <w:t xml:space="preserve">      </w:t>
      </w:r>
      <w:r>
        <w:rPr>
          <w:rFonts w:hint="eastAsia" w:ascii="宋体" w:hAnsi="宋体" w:eastAsia="宋体" w:cs="宋体"/>
          <w:color w:val="auto"/>
          <w:kern w:val="0"/>
          <w:highlight w:val="none"/>
        </w:rPr>
        <w:t>《钢铁烧结、球团工业大气污染物排放标准》</w:t>
      </w:r>
    </w:p>
    <w:p w14:paraId="7AC6B134">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GB 28663-2012</w:t>
      </w:r>
      <w:r>
        <w:rPr>
          <w:rFonts w:hint="eastAsia" w:ascii="宋体" w:hAnsi="宋体" w:eastAsia="宋体" w:cs="宋体"/>
          <w:color w:val="auto"/>
          <w:kern w:val="0"/>
          <w:highlight w:val="none"/>
          <w:lang w:val="en-US" w:eastAsia="zh-CN"/>
        </w:rPr>
        <w:t xml:space="preserve">      </w:t>
      </w:r>
      <w:r>
        <w:rPr>
          <w:rFonts w:hint="eastAsia" w:ascii="宋体" w:hAnsi="宋体" w:eastAsia="宋体" w:cs="宋体"/>
          <w:color w:val="auto"/>
          <w:kern w:val="0"/>
          <w:highlight w:val="none"/>
        </w:rPr>
        <w:t>《炼铁工业大气污染物排放标准》</w:t>
      </w:r>
    </w:p>
    <w:p w14:paraId="54F904EB">
      <w:pPr>
        <w:pStyle w:val="13"/>
        <w:spacing w:after="0"/>
        <w:ind w:firstLine="420"/>
        <w:outlineLvl w:val="3"/>
        <w:rPr>
          <w:rFonts w:ascii="宋体" w:hAnsi="宋体" w:cs="宋体"/>
          <w:color w:val="auto"/>
          <w:sz w:val="21"/>
          <w:szCs w:val="21"/>
          <w:highlight w:val="none"/>
        </w:rPr>
      </w:pPr>
      <w:r>
        <w:rPr>
          <w:rFonts w:hint="eastAsia" w:ascii="宋体" w:hAnsi="宋体" w:cs="宋体"/>
          <w:color w:val="auto"/>
          <w:sz w:val="21"/>
          <w:szCs w:val="21"/>
          <w:highlight w:val="none"/>
        </w:rPr>
        <w:t>2.2 总体要求</w:t>
      </w:r>
    </w:p>
    <w:p w14:paraId="430D7C4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2.2.1 化验室设备实验环境、条件、测定结果和准确度须符合国标要求，采用国际国内最先进的技术产品。设备参数显示采用中文汉字、国际标准工程计量单位。</w:t>
      </w:r>
    </w:p>
    <w:p w14:paraId="5842D69E">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2.2.2 投标人将按设备精度选用规定范围内的最先进的技术产品。仪器设备配置技术参数及规范、数量、生产厂家必须符合技术规范要求。</w:t>
      </w:r>
    </w:p>
    <w:p w14:paraId="53FF227B">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2.2.3 中标人提供的每一种设备必须是完整和成套的、能完全独立工作的。中标人所供仪器设备的配置必须满足到达现场即可使用，不需要招标人另行购买。按设备测量介质配用相应的附件、易损件，分体式仪表提供整套连接所需部件，满足新建煤炭、铁矿制样试验工作开展的需要。</w:t>
      </w:r>
    </w:p>
    <w:p w14:paraId="4E602CF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仪表仪器能防尘、防滴水、防腐、防潮、防霉等。</w:t>
      </w:r>
    </w:p>
    <w:p w14:paraId="78A0C1D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 xml:space="preserve"> 免费提供所供仪器仪表所需全套的最新正版安装软件，终身免费下载安装、使用、更新及升级。</w:t>
      </w:r>
    </w:p>
    <w:p w14:paraId="13553CC7">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 xml:space="preserve"> 中标人须负责所供全部设备的安装调试工作，并负责所供仪器仪表等全部设备的使用培训。</w:t>
      </w:r>
    </w:p>
    <w:p w14:paraId="4E20D2F3">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 xml:space="preserve"> 本项目电源：交流电源供电电压，三相四线制（380V/220V），50Hz。中标人所供设备的电压等级应与上述电压等级相适应。本项目要求供货的仪器、设备的电源插头、插座均要求采用</w:t>
      </w:r>
      <w:r>
        <w:rPr>
          <w:rFonts w:hint="eastAsia" w:ascii="宋体" w:hAnsi="宋体" w:cs="宋体"/>
          <w:color w:val="auto"/>
          <w:sz w:val="21"/>
          <w:szCs w:val="21"/>
          <w:highlight w:val="none"/>
          <w:lang w:val="en-US" w:eastAsia="zh-CN"/>
        </w:rPr>
        <w:t>国内</w:t>
      </w:r>
      <w:r>
        <w:rPr>
          <w:rFonts w:hint="eastAsia" w:ascii="宋体" w:hAnsi="宋体" w:cs="宋体"/>
          <w:color w:val="auto"/>
          <w:sz w:val="21"/>
          <w:szCs w:val="21"/>
          <w:highlight w:val="none"/>
        </w:rPr>
        <w:t>标准。</w:t>
      </w:r>
    </w:p>
    <w:p w14:paraId="4771410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对于所供产品，投标人应提供生产商出具的售后技术服务/产品维护承诺书，本次采购范围内所有设备及其</w:t>
      </w:r>
      <w:r>
        <w:rPr>
          <w:rFonts w:hint="eastAsia" w:ascii="宋体" w:hAnsi="宋体" w:cs="宋体"/>
          <w:color w:val="auto"/>
          <w:szCs w:val="21"/>
          <w:highlight w:val="none"/>
          <w:lang w:val="en-US" w:eastAsia="zh-CN"/>
        </w:rPr>
        <w:t>辅件</w:t>
      </w:r>
      <w:r>
        <w:rPr>
          <w:rFonts w:hint="eastAsia" w:ascii="宋体" w:hAnsi="宋体" w:cs="宋体"/>
          <w:color w:val="auto"/>
          <w:szCs w:val="21"/>
          <w:highlight w:val="none"/>
        </w:rPr>
        <w:t>质保期，自招标人验收合格后起计，所有设备及其配套辅件质保期至少为12个月。质保期内因产品材料、工艺、制造质量问题发生故障、损坏的，中标人须免费维修、免费更换，产生的人工、交通、耗材、运输等全部费用由中标人承担</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如整机维修更换，则质保期自维修完成之日重新起计，如维修更换配件，则配件的质保期自维修完成之日重新起计。</w:t>
      </w:r>
    </w:p>
    <w:p w14:paraId="4311107F">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 xml:space="preserve"> 所供设备技术参数清单中的技术参数描述是提供给投标人的基本要求，如要求描述的技术性能有差异时，按较高标准执行。</w:t>
      </w:r>
    </w:p>
    <w:p w14:paraId="062935E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 xml:space="preserve"> 中标人应提供安装、运输、使用及维护其设备必需的专用工具。并随这些专用工具清单提供一份介绍功能的详细说明书。中标人应注明该工具是否为安装调试或常规维护所必需。</w:t>
      </w:r>
    </w:p>
    <w:p w14:paraId="6480BD46">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 xml:space="preserve"> 每台设备应有固定铭牌。铭牌应不易损坏。标志应醒目、整齐、美观，并符合相关国家及行业规定。</w:t>
      </w:r>
    </w:p>
    <w:p w14:paraId="495A7F69">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2.2.1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 xml:space="preserve"> 设备出厂发运时，应根据其结构的刚度及装卸要求，采取必要的包装加强措施，以保证部件不变形和损坏，能承受运输和多次搬运，并应防止潮气和雨水的侵蚀。如发生变形由中标人负责在现场免费修复。招标人不负责包装材料的工地现场的保管及搬运责任。</w:t>
      </w:r>
    </w:p>
    <w:p w14:paraId="3152CA8E">
      <w:pPr>
        <w:pStyle w:val="13"/>
        <w:spacing w:after="0"/>
        <w:ind w:firstLine="420"/>
        <w:outlineLvl w:val="3"/>
        <w:rPr>
          <w:rFonts w:ascii="宋体" w:hAnsi="宋体" w:cs="宋体"/>
          <w:color w:val="auto"/>
          <w:sz w:val="21"/>
          <w:szCs w:val="21"/>
          <w:highlight w:val="none"/>
        </w:rPr>
      </w:pPr>
      <w:r>
        <w:rPr>
          <w:rFonts w:hint="eastAsia" w:ascii="宋体" w:hAnsi="宋体" w:cs="宋体"/>
          <w:color w:val="auto"/>
          <w:sz w:val="21"/>
          <w:szCs w:val="21"/>
          <w:highlight w:val="none"/>
        </w:rPr>
        <w:t>2.3 设备清单及要求</w:t>
      </w:r>
    </w:p>
    <w:p w14:paraId="6FC3EBB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本技术要求所列项目并不完整，投标人可对表中所提的内容作必要的补充和说明，以便招标人能对投标人提供的设备充分地了解。</w:t>
      </w:r>
    </w:p>
    <w:p w14:paraId="469FFE3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中标人需严格按照招标人规定的设备参数供货，否则按合同相关条款进行退货及罚款。</w:t>
      </w:r>
    </w:p>
    <w:p w14:paraId="670EFAD5">
      <w:pPr>
        <w:widowControl/>
        <w:autoSpaceDE w:val="0"/>
        <w:autoSpaceDN w:val="0"/>
        <w:ind w:left="420" w:leftChars="200" w:firstLine="0" w:firstLineChars="0"/>
        <w:textAlignment w:val="bottom"/>
        <w:outlineLvl w:val="2"/>
        <w:rPr>
          <w:rFonts w:ascii="宋体" w:hAnsi="宋体" w:cs="宋体"/>
          <w:b/>
          <w:bCs/>
          <w:color w:val="auto"/>
          <w:szCs w:val="21"/>
          <w:highlight w:val="none"/>
        </w:rPr>
      </w:pPr>
      <w:r>
        <w:rPr>
          <w:rFonts w:hint="eastAsia" w:ascii="宋体" w:hAnsi="宋体" w:cs="宋体"/>
          <w:b/>
          <w:bCs/>
          <w:color w:val="auto"/>
          <w:szCs w:val="21"/>
          <w:highlight w:val="none"/>
        </w:rPr>
        <w:t>3、主要仪器设备清单</w:t>
      </w:r>
    </w:p>
    <w:p w14:paraId="2DCB5B02">
      <w:pPr>
        <w:pStyle w:val="29"/>
        <w:ind w:left="0" w:leftChars="0" w:firstLine="0" w:firstLineChars="0"/>
        <w:outlineLvl w:val="3"/>
        <w:rPr>
          <w:color w:val="auto"/>
          <w:highlight w:val="none"/>
        </w:rPr>
      </w:pPr>
      <w:r>
        <w:rPr>
          <w:rFonts w:hint="eastAsia" w:ascii="宋体" w:hAnsi="宋体" w:cs="宋体"/>
          <w:b/>
          <w:bCs/>
          <w:color w:val="auto"/>
          <w:szCs w:val="21"/>
          <w:highlight w:val="none"/>
        </w:rPr>
        <w:t>3.1煤炭制样设备清单</w:t>
      </w:r>
    </w:p>
    <w:tbl>
      <w:tblPr>
        <w:tblStyle w:val="42"/>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309"/>
        <w:gridCol w:w="4437"/>
        <w:gridCol w:w="1054"/>
        <w:gridCol w:w="995"/>
      </w:tblGrid>
      <w:tr w14:paraId="6A7A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46E07E45">
            <w:pPr>
              <w:adjustRightInd w:val="0"/>
              <w:spacing w:line="400" w:lineRule="exact"/>
              <w:ind w:firstLine="0" w:firstLineChars="0"/>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1309" w:type="dxa"/>
            <w:vAlign w:val="center"/>
          </w:tcPr>
          <w:p w14:paraId="160C79E0">
            <w:pPr>
              <w:adjustRightInd w:val="0"/>
              <w:spacing w:line="400" w:lineRule="exact"/>
              <w:ind w:firstLine="0" w:firstLineChars="0"/>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设备名称</w:t>
            </w:r>
          </w:p>
        </w:tc>
        <w:tc>
          <w:tcPr>
            <w:tcW w:w="4437" w:type="dxa"/>
            <w:vAlign w:val="center"/>
          </w:tcPr>
          <w:p w14:paraId="1AAF5A5A">
            <w:pPr>
              <w:adjustRightInd w:val="0"/>
              <w:spacing w:line="400" w:lineRule="exact"/>
              <w:ind w:firstLine="0" w:firstLineChars="0"/>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技术参数及规范</w:t>
            </w:r>
          </w:p>
        </w:tc>
        <w:tc>
          <w:tcPr>
            <w:tcW w:w="1054" w:type="dxa"/>
            <w:vAlign w:val="center"/>
          </w:tcPr>
          <w:p w14:paraId="55383B74">
            <w:pPr>
              <w:adjustRightInd w:val="0"/>
              <w:spacing w:line="400" w:lineRule="exact"/>
              <w:ind w:firstLine="0" w:firstLineChars="0"/>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单位</w:t>
            </w:r>
          </w:p>
        </w:tc>
        <w:tc>
          <w:tcPr>
            <w:tcW w:w="995" w:type="dxa"/>
            <w:vAlign w:val="center"/>
          </w:tcPr>
          <w:p w14:paraId="6707D544">
            <w:pPr>
              <w:adjustRightInd w:val="0"/>
              <w:spacing w:line="400" w:lineRule="exact"/>
              <w:ind w:firstLine="0" w:firstLineChars="0"/>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数量</w:t>
            </w:r>
          </w:p>
        </w:tc>
      </w:tr>
      <w:tr w14:paraId="2F8A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2A87E7C">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c>
          <w:tcPr>
            <w:tcW w:w="1309" w:type="dxa"/>
            <w:vAlign w:val="center"/>
          </w:tcPr>
          <w:p w14:paraId="524D73B6">
            <w:pPr>
              <w:widowControl/>
              <w:spacing w:line="400" w:lineRule="exact"/>
              <w:ind w:firstLine="0" w:firstLineChars="0"/>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联合制样机</w:t>
            </w:r>
          </w:p>
        </w:tc>
        <w:tc>
          <w:tcPr>
            <w:tcW w:w="4437" w:type="dxa"/>
            <w:vAlign w:val="center"/>
          </w:tcPr>
          <w:p w14:paraId="125F5E72">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符合GB/T 474-2008《煤样的制备方法》要求；</w:t>
            </w:r>
          </w:p>
          <w:p w14:paraId="2260787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 整机采用两级破碎两级缩分结构，一级破碎采用锤式破碎方式，二级破碎采用对辊破碎方式，破碎效果好，出料粒度均匀，水分损失少。</w:t>
            </w:r>
          </w:p>
          <w:p w14:paraId="3391882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 破碎、缩分系统采用机械组合一体化传动设计，运行平稳，噪音低。</w:t>
            </w:r>
          </w:p>
          <w:p w14:paraId="714C57FE">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 进料皮带上方配有永磁式除铁器，确保设备运行安全。</w:t>
            </w:r>
          </w:p>
          <w:p w14:paraId="0FB2746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 破碎锤头、筛板、破碎辊轮等关键部件采用合金材料，耐磨性好。</w:t>
            </w:r>
          </w:p>
          <w:p w14:paraId="4C9853F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 机体上设有多个可开启检修门，方便日常清扫和维护。</w:t>
            </w:r>
          </w:p>
          <w:p w14:paraId="69D461FD">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6 整机采用密封式设计，粉尘外泄率低，符合环保要求。</w:t>
            </w:r>
          </w:p>
          <w:p w14:paraId="47A1387B">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7 传动机构均设有防护措施，符合安全生产要求。</w:t>
            </w:r>
          </w:p>
          <w:p w14:paraId="4800FC6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8 预留除尘接口，可根据实际需要连接除尘系统。</w:t>
            </w:r>
          </w:p>
          <w:p w14:paraId="4D3AF298">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9制样方式两级破碎、两级缩分，配弃料皮带</w:t>
            </w:r>
          </w:p>
          <w:p w14:paraId="6A621275">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10入料粒度(mm)≤150</w:t>
            </w:r>
          </w:p>
          <w:p w14:paraId="1DB33D79">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11出料粒度(mm)一级出料粒度 ≤6或≤13（可调）</w:t>
            </w:r>
          </w:p>
          <w:p w14:paraId="36BB05FA">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★12二级出料粒度1～6(可调)</w:t>
            </w:r>
          </w:p>
          <w:p w14:paraId="74B8CA48">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13适应全水分(%)≤12</w:t>
            </w:r>
          </w:p>
          <w:p w14:paraId="258DC74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14生产率(kg/h)1300～1800</w:t>
            </w:r>
          </w:p>
          <w:p w14:paraId="2324CB78">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15缩分比一级缩分比1/4～1/8（可调）</w:t>
            </w:r>
          </w:p>
          <w:p w14:paraId="0E790C7E">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16二级缩分比1/2（固定）</w:t>
            </w:r>
          </w:p>
          <w:p w14:paraId="753A2B6D">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17总缩分比1/8～1/16（可调）</w:t>
            </w:r>
          </w:p>
          <w:p w14:paraId="448D7CA2">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18进料皮带标配</w:t>
            </w:r>
          </w:p>
          <w:p w14:paraId="0C1940DE">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19弃料皮带标配（长度670mm）</w:t>
            </w:r>
          </w:p>
          <w:p w14:paraId="315FFE8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20工作电源AC380V±10%，50Hz±1Hz.</w:t>
            </w:r>
          </w:p>
          <w:p w14:paraId="602C5D05">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21最大功率(kW)≤12</w:t>
            </w:r>
          </w:p>
          <w:p w14:paraId="43D7DD7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22重量(kg)1300</w:t>
            </w:r>
          </w:p>
          <w:p w14:paraId="29BE53F3">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23外形尺寸(mm)3794×1690×1864</w:t>
            </w:r>
          </w:p>
          <w:p w14:paraId="7072438E">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42D4513A">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台</w:t>
            </w:r>
          </w:p>
        </w:tc>
        <w:tc>
          <w:tcPr>
            <w:tcW w:w="995" w:type="dxa"/>
            <w:vAlign w:val="center"/>
          </w:tcPr>
          <w:p w14:paraId="21BEF59C">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r>
      <w:tr w14:paraId="2EB0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4DB99CE8">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1309" w:type="dxa"/>
            <w:vAlign w:val="center"/>
          </w:tcPr>
          <w:p w14:paraId="27395153">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锤式破碎机</w:t>
            </w:r>
          </w:p>
        </w:tc>
        <w:tc>
          <w:tcPr>
            <w:tcW w:w="4437" w:type="dxa"/>
            <w:vAlign w:val="center"/>
          </w:tcPr>
          <w:p w14:paraId="5AF09AC4">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符合GB/T 474-2008《煤样的制备方法》要求；</w:t>
            </w:r>
          </w:p>
          <w:p w14:paraId="5C9096A4">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w:t>
            </w:r>
            <w:r>
              <w:rPr>
                <w:rStyle w:val="50"/>
                <w:rFonts w:hint="eastAsia"/>
                <w:color w:val="auto"/>
                <w:kern w:val="0"/>
                <w:highlight w:val="none"/>
              </w:rPr>
              <w:t>为减少破碎过程中的水分损失，破碎效果好，出料粒度均匀，锤式破碎机采用扇形锤片设计。</w:t>
            </w:r>
          </w:p>
          <w:p w14:paraId="252B148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 为适应不同粒度要求，配有≤1、≤3、≤6(可调)三种不同粒径筛板，具备快速更换筛板技术功能，操作方便快捷。</w:t>
            </w:r>
          </w:p>
          <w:p w14:paraId="6933289A">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 破碎锤头、筛板等关键部件采用合金材料，耐磨性好。</w:t>
            </w:r>
          </w:p>
          <w:p w14:paraId="7EC08A85">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4整机密封式设计，粉尘外泄率低，符合环保要求。</w:t>
            </w:r>
          </w:p>
          <w:p w14:paraId="53E97C6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5传动机构均设有防护措施，符合安全生产要求。</w:t>
            </w:r>
          </w:p>
          <w:p w14:paraId="3A9D438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6预留除尘接口，可根据实际需要连接除尘系统。</w:t>
            </w:r>
          </w:p>
          <w:p w14:paraId="292D9FC9">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7 破碎腔直径(mm)：150~200</w:t>
            </w:r>
          </w:p>
          <w:p w14:paraId="388C5496">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8入料粒度(mm)：≤50</w:t>
            </w:r>
          </w:p>
          <w:p w14:paraId="6253B42C">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★9出料粒度(mm)：≤1、≤3、≤6(可调)</w:t>
            </w:r>
          </w:p>
          <w:p w14:paraId="01DEF3B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10适应全水分(%)：≤15</w:t>
            </w:r>
          </w:p>
          <w:p w14:paraId="64CBAC83">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11生产率(kg/h)：300～600</w:t>
            </w:r>
          </w:p>
          <w:p w14:paraId="63EF689E">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12工作电源：AC380V±10%，50Hz±1Hz</w:t>
            </w:r>
          </w:p>
          <w:p w14:paraId="0481EC9A">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13最大功率(kW)：≤1.5</w:t>
            </w:r>
          </w:p>
          <w:p w14:paraId="5078AEE6">
            <w:pPr>
              <w:widowControl/>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14重量(kg)：≤180</w:t>
            </w:r>
          </w:p>
          <w:p w14:paraId="681CE9E9">
            <w:pPr>
              <w:widowControl/>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4E98AFA9">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104472D1">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1</w:t>
            </w:r>
          </w:p>
        </w:tc>
      </w:tr>
      <w:tr w14:paraId="09D3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2D392D36">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1309" w:type="dxa"/>
            <w:vAlign w:val="center"/>
          </w:tcPr>
          <w:p w14:paraId="38ABC714">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对辊破碎机</w:t>
            </w:r>
          </w:p>
        </w:tc>
        <w:tc>
          <w:tcPr>
            <w:tcW w:w="4437" w:type="dxa"/>
            <w:vAlign w:val="center"/>
          </w:tcPr>
          <w:p w14:paraId="26BD2D8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符合GB/T 474-2008《煤样的制备方法》要求</w:t>
            </w:r>
          </w:p>
          <w:p w14:paraId="025DF10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1出料粒度采用单手轮调节，并配有可视刻度表，粒度调节方便快捷。</w:t>
            </w:r>
          </w:p>
          <w:p w14:paraId="1D2A391C">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2采用可拆卸式侧护板结构，方便清扫和维护。</w:t>
            </w:r>
          </w:p>
          <w:p w14:paraId="402FB94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3双辊表面具有螺纹，防飞溅下料口，防止下料和破碎过程中样品飞溅打滑，降低污染，提高操作安全性。</w:t>
            </w:r>
          </w:p>
          <w:p w14:paraId="56D9B62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4破碎辊轮采用合金材料，耐磨性好。</w:t>
            </w:r>
          </w:p>
          <w:p w14:paraId="253B11B3">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5整机采用密封式设计，粉尘外泄率低，符合环保要求。</w:t>
            </w:r>
          </w:p>
          <w:p w14:paraId="646C327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6传动机构均设有防护措施，符合安全生产要求。</w:t>
            </w:r>
          </w:p>
          <w:p w14:paraId="4E263806">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7预留除尘接口，可根据实际需要连接除尘系统。</w:t>
            </w:r>
          </w:p>
          <w:p w14:paraId="668406A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8入料粒度(mm):≤13</w:t>
            </w:r>
          </w:p>
          <w:p w14:paraId="7F74C102">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★9出料粒度(mm):≤1～3(可调)</w:t>
            </w:r>
          </w:p>
          <w:p w14:paraId="7219D6A5">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10适应全水分(%):≤12</w:t>
            </w:r>
          </w:p>
          <w:p w14:paraId="437C19E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11生产率(kg/h):300～400</w:t>
            </w:r>
          </w:p>
          <w:p w14:paraId="4C1E75B8">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12工作电源:AC380V±10%，50Hz±1Hz</w:t>
            </w:r>
          </w:p>
          <w:p w14:paraId="7FECE305">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13最大功率(kW):≤4</w:t>
            </w:r>
          </w:p>
          <w:p w14:paraId="36C54DF8">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14重量(kg):365</w:t>
            </w:r>
          </w:p>
          <w:p w14:paraId="3D0343A8">
            <w:pPr>
              <w:widowControl/>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15外形尺寸(mm):930×585×885</w:t>
            </w:r>
          </w:p>
          <w:p w14:paraId="7FFB69A4">
            <w:pPr>
              <w:widowControl/>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3FB27390">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68843DD0">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1</w:t>
            </w:r>
          </w:p>
        </w:tc>
      </w:tr>
      <w:tr w14:paraId="27A1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7CB6A29">
            <w:pPr>
              <w:spacing w:line="400" w:lineRule="exact"/>
              <w:ind w:firstLine="0" w:firstLineChars="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4</w:t>
            </w:r>
          </w:p>
        </w:tc>
        <w:tc>
          <w:tcPr>
            <w:tcW w:w="1309" w:type="dxa"/>
            <w:vAlign w:val="center"/>
          </w:tcPr>
          <w:p w14:paraId="0F4E9511">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标准振筛机</w:t>
            </w:r>
          </w:p>
        </w:tc>
        <w:tc>
          <w:tcPr>
            <w:tcW w:w="4437" w:type="dxa"/>
            <w:vAlign w:val="center"/>
          </w:tcPr>
          <w:p w14:paraId="6B2A63D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1.采用平面摇动和上下振击合成的复合筛分方式，筛分效率高。</w:t>
            </w:r>
          </w:p>
          <w:p w14:paraId="249A219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2.装压筛具快捷方便，压盖能自动锁紧。</w:t>
            </w:r>
          </w:p>
          <w:p w14:paraId="3E618D6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3.箱体内部采用无油润滑减速机构，性能稳定可靠，节能环保。</w:t>
            </w:r>
          </w:p>
          <w:p w14:paraId="18D0453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4.具有模式储存与文字显示功能，能储存三组常用模式，操作方便快捷。</w:t>
            </w:r>
          </w:p>
          <w:p w14:paraId="5F00F18A">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5.整机采用密封式设计，粉尘外泄率低，符合环保要求。</w:t>
            </w:r>
          </w:p>
          <w:p w14:paraId="1EFB4BD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6.预留除尘接口，可根据实际需要连接除尘系统。</w:t>
            </w:r>
          </w:p>
          <w:p w14:paraId="025B359B">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配套筛具规格（mm）φ200*50</w:t>
            </w:r>
          </w:p>
          <w:p w14:paraId="5087FAB2">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最大筛装层数8</w:t>
            </w:r>
          </w:p>
          <w:p w14:paraId="2219CFE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筛分力度（mm）6-0.045</w:t>
            </w:r>
          </w:p>
          <w:p w14:paraId="0B03882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振击频率（次/分）149</w:t>
            </w:r>
          </w:p>
          <w:p w14:paraId="76F20B9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振击幅度（mm）10</w:t>
            </w:r>
          </w:p>
          <w:p w14:paraId="64E392E3">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摇摆次数（次、分）221</w:t>
            </w:r>
          </w:p>
          <w:p w14:paraId="5086D05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回转半径（mm）12.5</w:t>
            </w:r>
          </w:p>
          <w:p w14:paraId="68341B6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工作电源AC380V±10%，50Hz±1Hz</w:t>
            </w:r>
          </w:p>
          <w:p w14:paraId="1AD37EC4">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最大功率（kw）≤0.4</w:t>
            </w:r>
          </w:p>
          <w:p w14:paraId="42A3173B">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561361C3">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39DB3597">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1</w:t>
            </w:r>
          </w:p>
        </w:tc>
      </w:tr>
      <w:tr w14:paraId="0A0B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0E0676ED">
            <w:pPr>
              <w:spacing w:line="400" w:lineRule="exact"/>
              <w:ind w:firstLine="0" w:firstLineChars="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5</w:t>
            </w:r>
          </w:p>
        </w:tc>
        <w:tc>
          <w:tcPr>
            <w:tcW w:w="1309" w:type="dxa"/>
            <w:vAlign w:val="center"/>
          </w:tcPr>
          <w:p w14:paraId="7A84452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制样粉碎机</w:t>
            </w:r>
          </w:p>
        </w:tc>
        <w:tc>
          <w:tcPr>
            <w:tcW w:w="4437" w:type="dxa"/>
            <w:vAlign w:val="center"/>
          </w:tcPr>
          <w:p w14:paraId="287F624A">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1.制粉粒度均匀细微，过筛率符合国标要求。</w:t>
            </w:r>
          </w:p>
          <w:p w14:paraId="2CA269D5">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2.粉碎装置采用快速压紧方式，操作方便快捷，压紧后密封性好，确保样品无损失。</w:t>
            </w:r>
          </w:p>
          <w:p w14:paraId="53FF7E27">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3.上盖采用气弹簧支撑，并具有开盖自动断电功能，保护人员和设备安全。</w:t>
            </w:r>
          </w:p>
          <w:p w14:paraId="6A44FBE2">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4.偏心组件与电机轴采用分离式结构，提高电机使用寿命。</w:t>
            </w:r>
          </w:p>
          <w:p w14:paraId="332E720E">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5.采用特种振动电动机，工作可靠，制样效率高。</w:t>
            </w:r>
          </w:p>
          <w:p w14:paraId="459FA8F9">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6.整机采用密封式设计，粉尘外泄率低，符合环保要求。</w:t>
            </w:r>
          </w:p>
          <w:p w14:paraId="732D5541">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7.粉碎装置采用合金材质(标配)，耐磨性好，针对高硬度物料可提供碳化钨材质（需选配）。</w:t>
            </w:r>
          </w:p>
          <w:p w14:paraId="65BE5B9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8.预留除尘接口，可根据实际需要连接除尘系统。</w:t>
            </w:r>
          </w:p>
          <w:p w14:paraId="518DB415">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9.粉碎装置数量(个):3</w:t>
            </w:r>
          </w:p>
          <w:p w14:paraId="49974601">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10.装料总质量(g):3×100</w:t>
            </w:r>
          </w:p>
          <w:p w14:paraId="51088E2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11.入料粒度(mm):≤13</w:t>
            </w:r>
          </w:p>
          <w:p w14:paraId="1B5E963D">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★12.出料粒度(mm):≤0.2～0.071</w:t>
            </w:r>
          </w:p>
          <w:p w14:paraId="71BA4651">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13.工作电源:AC380V±10%，50Hz±1Hz</w:t>
            </w:r>
          </w:p>
          <w:p w14:paraId="30C5779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14.最大功率(kW)</w:t>
            </w:r>
            <w:r>
              <w:rPr>
                <w:rFonts w:hint="eastAsia" w:ascii="宋体" w:hAnsi="宋体" w:cs="宋体"/>
                <w:bCs/>
                <w:color w:val="auto"/>
                <w:szCs w:val="21"/>
                <w:highlight w:val="none"/>
              </w:rPr>
              <w:tab/>
            </w:r>
            <w:r>
              <w:rPr>
                <w:rFonts w:hint="eastAsia" w:ascii="宋体" w:hAnsi="宋体" w:cs="宋体"/>
                <w:bCs/>
                <w:color w:val="auto"/>
                <w:szCs w:val="21"/>
                <w:highlight w:val="none"/>
              </w:rPr>
              <w:t>≤1.5</w:t>
            </w:r>
          </w:p>
          <w:p w14:paraId="240B8517">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15.重量(kg)</w:t>
            </w:r>
            <w:r>
              <w:rPr>
                <w:rFonts w:hint="eastAsia" w:ascii="宋体" w:hAnsi="宋体" w:cs="宋体"/>
                <w:bCs/>
                <w:color w:val="auto"/>
                <w:szCs w:val="21"/>
                <w:highlight w:val="none"/>
              </w:rPr>
              <w:tab/>
            </w:r>
            <w:r>
              <w:rPr>
                <w:rFonts w:hint="eastAsia" w:ascii="宋体" w:hAnsi="宋体" w:cs="宋体"/>
                <w:bCs/>
                <w:color w:val="auto"/>
                <w:szCs w:val="21"/>
                <w:highlight w:val="none"/>
              </w:rPr>
              <w:t>:190</w:t>
            </w:r>
          </w:p>
          <w:p w14:paraId="464C9ECA">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3FBF9F98">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257C530C">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1</w:t>
            </w:r>
          </w:p>
        </w:tc>
      </w:tr>
      <w:tr w14:paraId="0AED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5F3278C">
            <w:pPr>
              <w:spacing w:line="400" w:lineRule="exact"/>
              <w:ind w:firstLine="0" w:firstLineChars="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6</w:t>
            </w:r>
          </w:p>
        </w:tc>
        <w:tc>
          <w:tcPr>
            <w:tcW w:w="1309" w:type="dxa"/>
            <w:vAlign w:val="center"/>
          </w:tcPr>
          <w:p w14:paraId="28F46655">
            <w:pPr>
              <w:widowControl/>
              <w:spacing w:line="400" w:lineRule="exact"/>
              <w:ind w:firstLine="0" w:firstLineChars="0"/>
              <w:rPr>
                <w:rFonts w:ascii="宋体" w:hAnsi="宋体" w:cs="宋体"/>
                <w:bCs/>
                <w:color w:val="auto"/>
                <w:szCs w:val="21"/>
                <w:highlight w:val="none"/>
                <w:lang w:bidi="ar"/>
              </w:rPr>
            </w:pPr>
            <w:r>
              <w:rPr>
                <w:rFonts w:hint="eastAsia" w:ascii="宋体" w:hAnsi="宋体" w:cs="宋体"/>
                <w:bCs/>
                <w:color w:val="auto"/>
                <w:szCs w:val="21"/>
                <w:highlight w:val="none"/>
                <w:lang w:bidi="ar"/>
              </w:rPr>
              <w:t>电动缩分机</w:t>
            </w:r>
          </w:p>
        </w:tc>
        <w:tc>
          <w:tcPr>
            <w:tcW w:w="4437" w:type="dxa"/>
            <w:vAlign w:val="center"/>
          </w:tcPr>
          <w:p w14:paraId="517D948A">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1.电动缩分方式避免了人为因素的影响，缩分精密度更高。</w:t>
            </w:r>
          </w:p>
          <w:p w14:paraId="1FB37B51">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2.给料均匀；缩分转盘转速可调；接料斗排列紧密，定位可靠，装取方便。</w:t>
            </w:r>
          </w:p>
          <w:p w14:paraId="3EE0D6CA">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3.内部清扫方便，可避免样品交叉污染。</w:t>
            </w:r>
          </w:p>
          <w:p w14:paraId="7E4D7B3B">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4.整机采用密封式设计，粉尘外泄率低，符合环保要求。</w:t>
            </w:r>
          </w:p>
          <w:p w14:paraId="57660705">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5.预留除尘接口，可根据实际需要连接除尘系统。</w:t>
            </w:r>
          </w:p>
          <w:p w14:paraId="4D10F9E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★缩分粒度(mm)：≤13</w:t>
            </w:r>
          </w:p>
          <w:p w14:paraId="52929A69">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★缩分比：1/2、1/4、1/8(可调)</w:t>
            </w:r>
          </w:p>
          <w:p w14:paraId="541FE044">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适应全水分(%)：≤12</w:t>
            </w:r>
          </w:p>
          <w:p w14:paraId="2F92C9B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生产率(kg/h)：800</w:t>
            </w:r>
          </w:p>
          <w:p w14:paraId="331E1862">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工作电源</w:t>
            </w:r>
            <w:r>
              <w:rPr>
                <w:rFonts w:hint="eastAsia" w:ascii="宋体" w:hAnsi="宋体" w:cs="宋体"/>
                <w:bCs/>
                <w:color w:val="auto"/>
                <w:szCs w:val="21"/>
                <w:highlight w:val="none"/>
              </w:rPr>
              <w:tab/>
            </w:r>
            <w:r>
              <w:rPr>
                <w:rFonts w:hint="eastAsia" w:ascii="宋体" w:hAnsi="宋体" w:cs="宋体"/>
                <w:bCs/>
                <w:color w:val="auto"/>
                <w:szCs w:val="21"/>
                <w:highlight w:val="none"/>
              </w:rPr>
              <w:t>AC380V±10%，50Hz±1Hz</w:t>
            </w:r>
          </w:p>
          <w:p w14:paraId="2A5F83C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最大功率(kW)：≤0.2</w:t>
            </w:r>
          </w:p>
          <w:p w14:paraId="0FBB8876">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重量(kg)：</w:t>
            </w:r>
            <w:r>
              <w:rPr>
                <w:rFonts w:hint="eastAsia" w:ascii="宋体" w:hAnsi="宋体" w:cs="宋体"/>
                <w:bCs/>
                <w:color w:val="auto"/>
                <w:szCs w:val="21"/>
                <w:highlight w:val="none"/>
              </w:rPr>
              <w:tab/>
            </w:r>
            <w:r>
              <w:rPr>
                <w:rFonts w:hint="eastAsia" w:ascii="宋体" w:hAnsi="宋体" w:cs="宋体"/>
                <w:bCs/>
                <w:color w:val="auto"/>
                <w:szCs w:val="21"/>
                <w:highlight w:val="none"/>
              </w:rPr>
              <w:t>60</w:t>
            </w:r>
          </w:p>
          <w:p w14:paraId="3B65A490">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外形尺寸(mm)：720×660×750</w:t>
            </w:r>
          </w:p>
          <w:p w14:paraId="217882D4">
            <w:pPr>
              <w:spacing w:line="400" w:lineRule="exact"/>
              <w:ind w:firstLine="0" w:firstLineChars="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4" w:type="dxa"/>
            <w:vAlign w:val="center"/>
          </w:tcPr>
          <w:p w14:paraId="4EE5992E">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211B293D">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1</w:t>
            </w:r>
          </w:p>
        </w:tc>
      </w:tr>
      <w:tr w14:paraId="25F3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3FFC4463">
            <w:pPr>
              <w:spacing w:line="400" w:lineRule="exact"/>
              <w:ind w:firstLine="0" w:firstLineChars="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7</w:t>
            </w:r>
          </w:p>
        </w:tc>
        <w:tc>
          <w:tcPr>
            <w:tcW w:w="1309" w:type="dxa"/>
            <w:vAlign w:val="center"/>
          </w:tcPr>
          <w:p w14:paraId="4D08480C">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电热干燥箱</w:t>
            </w:r>
          </w:p>
        </w:tc>
        <w:tc>
          <w:tcPr>
            <w:tcW w:w="4437" w:type="dxa"/>
            <w:vAlign w:val="center"/>
          </w:tcPr>
          <w:p w14:paraId="51A59E7F">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满足GB/T 30435-2013《电热干燥箱及电热鼓风干燥箱》和GB/T 32710.10-2016《环境试验仪器及设备安全规范 第10部分：电热干燥箱及电热鼓风干燥箱》的要求；</w:t>
            </w:r>
          </w:p>
          <w:p w14:paraId="7ECE46AF">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具有漏电、过流、温度过冲保护，外壳为静电粉末喷涂的冷压钢板，采用高温棉保温材料，内胆采用不锈钢材料，不生锈不掉渣；箱门上有双层钢化玻璃观察窗，能清晰观察箱内加热物品；耐高温硅胶密封条，密封性优良，无热量流失。</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控制范围:室温20℃-250℃</w:t>
            </w:r>
          </w:p>
          <w:p w14:paraId="4FA8BA3A">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温度分辨率：≤0.1℃</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温度均匀度:士3%</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恒温波动度:士1℃</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内胆尺寸(mm):500×450×550</w:t>
            </w:r>
          </w:p>
          <w:p w14:paraId="7549C5E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电源电压、功率：AC220V±10%，50Hz±1Hz、≤2.5kW</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定时范围:0-9999min</w:t>
            </w:r>
          </w:p>
        </w:tc>
        <w:tc>
          <w:tcPr>
            <w:tcW w:w="1054" w:type="dxa"/>
            <w:vAlign w:val="center"/>
          </w:tcPr>
          <w:p w14:paraId="4E62D079">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台</w:t>
            </w:r>
          </w:p>
        </w:tc>
        <w:tc>
          <w:tcPr>
            <w:tcW w:w="995" w:type="dxa"/>
            <w:vAlign w:val="center"/>
          </w:tcPr>
          <w:p w14:paraId="22F75127">
            <w:pPr>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2</w:t>
            </w:r>
          </w:p>
        </w:tc>
      </w:tr>
      <w:tr w14:paraId="26CD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F9CC031">
            <w:pPr>
              <w:spacing w:line="400" w:lineRule="exact"/>
              <w:ind w:firstLine="0" w:firstLineChars="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8</w:t>
            </w:r>
          </w:p>
        </w:tc>
        <w:tc>
          <w:tcPr>
            <w:tcW w:w="1309" w:type="dxa"/>
            <w:vAlign w:val="center"/>
          </w:tcPr>
          <w:p w14:paraId="6A8B52F7">
            <w:pPr>
              <w:widowControl/>
              <w:spacing w:line="400" w:lineRule="exact"/>
              <w:ind w:firstLine="0" w:firstLineChars="0"/>
              <w:rPr>
                <w:rFonts w:ascii="宋体" w:hAnsi="宋体" w:cs="宋体"/>
                <w:bCs/>
                <w:color w:val="auto"/>
                <w:szCs w:val="21"/>
                <w:highlight w:val="none"/>
                <w:lang w:bidi="ar"/>
              </w:rPr>
            </w:pPr>
            <w:r>
              <w:rPr>
                <w:rFonts w:hint="eastAsia" w:ascii="宋体" w:hAnsi="宋体" w:cs="宋体"/>
                <w:bCs/>
                <w:color w:val="auto"/>
                <w:szCs w:val="21"/>
                <w:highlight w:val="none"/>
                <w:lang w:bidi="ar"/>
              </w:rPr>
              <w:t>筛分机</w:t>
            </w:r>
          </w:p>
        </w:tc>
        <w:tc>
          <w:tcPr>
            <w:tcW w:w="4437" w:type="dxa"/>
            <w:vAlign w:val="center"/>
          </w:tcPr>
          <w:p w14:paraId="0D2B87CD">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样品过筛</w:t>
            </w:r>
          </w:p>
        </w:tc>
        <w:tc>
          <w:tcPr>
            <w:tcW w:w="1054" w:type="dxa"/>
            <w:vAlign w:val="center"/>
          </w:tcPr>
          <w:p w14:paraId="409B2B93">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台</w:t>
            </w:r>
          </w:p>
        </w:tc>
        <w:tc>
          <w:tcPr>
            <w:tcW w:w="995" w:type="dxa"/>
            <w:vAlign w:val="center"/>
          </w:tcPr>
          <w:p w14:paraId="1E00772C">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7D9C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7F7F5D85">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9</w:t>
            </w:r>
          </w:p>
        </w:tc>
        <w:tc>
          <w:tcPr>
            <w:tcW w:w="1309" w:type="dxa"/>
            <w:vAlign w:val="center"/>
          </w:tcPr>
          <w:p w14:paraId="4F91C70A">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电子台秤</w:t>
            </w:r>
          </w:p>
        </w:tc>
        <w:tc>
          <w:tcPr>
            <w:tcW w:w="4437" w:type="dxa"/>
            <w:vAlign w:val="center"/>
          </w:tcPr>
          <w:p w14:paraId="67CD233E">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精度0.1g、量程150KG</w:t>
            </w:r>
          </w:p>
        </w:tc>
        <w:tc>
          <w:tcPr>
            <w:tcW w:w="1054" w:type="dxa"/>
            <w:vAlign w:val="center"/>
          </w:tcPr>
          <w:p w14:paraId="2CAE5B77">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台</w:t>
            </w:r>
          </w:p>
        </w:tc>
        <w:tc>
          <w:tcPr>
            <w:tcW w:w="995" w:type="dxa"/>
            <w:vAlign w:val="center"/>
          </w:tcPr>
          <w:p w14:paraId="10C9E19A">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40E8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0F207AC">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10</w:t>
            </w:r>
          </w:p>
        </w:tc>
        <w:tc>
          <w:tcPr>
            <w:tcW w:w="1309" w:type="dxa"/>
            <w:vAlign w:val="center"/>
          </w:tcPr>
          <w:p w14:paraId="678BD0C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手推车</w:t>
            </w:r>
          </w:p>
        </w:tc>
        <w:tc>
          <w:tcPr>
            <w:tcW w:w="4437" w:type="dxa"/>
            <w:vAlign w:val="center"/>
          </w:tcPr>
          <w:p w14:paraId="4AA3278C">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平板尺寸长40cm，宽60cm ,最大承重800斤以上，带刹车，可折叠。</w:t>
            </w:r>
          </w:p>
        </w:tc>
        <w:tc>
          <w:tcPr>
            <w:tcW w:w="1054" w:type="dxa"/>
            <w:vAlign w:val="center"/>
          </w:tcPr>
          <w:p w14:paraId="4EF7821C">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辆</w:t>
            </w:r>
          </w:p>
        </w:tc>
        <w:tc>
          <w:tcPr>
            <w:tcW w:w="995" w:type="dxa"/>
            <w:vAlign w:val="center"/>
          </w:tcPr>
          <w:p w14:paraId="05658453">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5CE3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77B1BC18">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11</w:t>
            </w:r>
          </w:p>
        </w:tc>
        <w:tc>
          <w:tcPr>
            <w:tcW w:w="1309" w:type="dxa"/>
            <w:vAlign w:val="center"/>
          </w:tcPr>
          <w:p w14:paraId="11535B2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翻斗车</w:t>
            </w:r>
          </w:p>
        </w:tc>
        <w:tc>
          <w:tcPr>
            <w:tcW w:w="4437" w:type="dxa"/>
            <w:vAlign w:val="center"/>
          </w:tcPr>
          <w:p w14:paraId="1EC54164">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两轮拉货自卸带手推翻斗车</w:t>
            </w:r>
          </w:p>
        </w:tc>
        <w:tc>
          <w:tcPr>
            <w:tcW w:w="1054" w:type="dxa"/>
            <w:vAlign w:val="center"/>
          </w:tcPr>
          <w:p w14:paraId="1052C222">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辆</w:t>
            </w:r>
          </w:p>
        </w:tc>
        <w:tc>
          <w:tcPr>
            <w:tcW w:w="995" w:type="dxa"/>
            <w:vAlign w:val="center"/>
          </w:tcPr>
          <w:p w14:paraId="2F468C1F">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1C99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AED2FA1">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12</w:t>
            </w:r>
          </w:p>
        </w:tc>
        <w:tc>
          <w:tcPr>
            <w:tcW w:w="1309" w:type="dxa"/>
            <w:vAlign w:val="center"/>
          </w:tcPr>
          <w:p w14:paraId="412D791F">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不锈钢样品桶</w:t>
            </w:r>
          </w:p>
        </w:tc>
        <w:tc>
          <w:tcPr>
            <w:tcW w:w="4437" w:type="dxa"/>
            <w:vAlign w:val="center"/>
          </w:tcPr>
          <w:p w14:paraId="3D6A5ED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不锈钢材质，外形尺寸：Φ320×350mm，容量约40kg。</w:t>
            </w:r>
          </w:p>
        </w:tc>
        <w:tc>
          <w:tcPr>
            <w:tcW w:w="1054" w:type="dxa"/>
            <w:vAlign w:val="center"/>
          </w:tcPr>
          <w:p w14:paraId="1EB6DC0B">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1582D9C2">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25</w:t>
            </w:r>
          </w:p>
        </w:tc>
      </w:tr>
      <w:tr w14:paraId="14EC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0D4C817E">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13</w:t>
            </w:r>
          </w:p>
        </w:tc>
        <w:tc>
          <w:tcPr>
            <w:tcW w:w="1309" w:type="dxa"/>
            <w:vAlign w:val="center"/>
          </w:tcPr>
          <w:p w14:paraId="6345BDE0">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塑料样品桶</w:t>
            </w:r>
          </w:p>
        </w:tc>
        <w:tc>
          <w:tcPr>
            <w:tcW w:w="4437" w:type="dxa"/>
            <w:vAlign w:val="center"/>
          </w:tcPr>
          <w:p w14:paraId="0038FC3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塑料材质，外形尺寸：Φ295×475mm，容量约30kg</w:t>
            </w:r>
          </w:p>
        </w:tc>
        <w:tc>
          <w:tcPr>
            <w:tcW w:w="1054" w:type="dxa"/>
            <w:vAlign w:val="center"/>
          </w:tcPr>
          <w:p w14:paraId="7C9C65CE">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317BC552">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30</w:t>
            </w:r>
          </w:p>
        </w:tc>
      </w:tr>
      <w:tr w14:paraId="4692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0DC698B1">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14</w:t>
            </w:r>
          </w:p>
        </w:tc>
        <w:tc>
          <w:tcPr>
            <w:tcW w:w="1309" w:type="dxa"/>
            <w:vAlign w:val="center"/>
          </w:tcPr>
          <w:p w14:paraId="0EF846C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煤炭碾样锤</w:t>
            </w:r>
          </w:p>
        </w:tc>
        <w:tc>
          <w:tcPr>
            <w:tcW w:w="4437" w:type="dxa"/>
            <w:vAlign w:val="center"/>
          </w:tcPr>
          <w:p w14:paraId="62DC709D">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重量13kg，外形尺寸：φ180×60×780mm。</w:t>
            </w:r>
          </w:p>
        </w:tc>
        <w:tc>
          <w:tcPr>
            <w:tcW w:w="1054" w:type="dxa"/>
            <w:vAlign w:val="center"/>
          </w:tcPr>
          <w:p w14:paraId="5FF059E7">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49132297">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6368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5B7F001">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c>
          <w:tcPr>
            <w:tcW w:w="1309" w:type="dxa"/>
            <w:vAlign w:val="center"/>
          </w:tcPr>
          <w:p w14:paraId="70ACE611">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不锈钢操作台</w:t>
            </w:r>
          </w:p>
        </w:tc>
        <w:tc>
          <w:tcPr>
            <w:tcW w:w="4437" w:type="dxa"/>
            <w:vAlign w:val="center"/>
          </w:tcPr>
          <w:p w14:paraId="7B783525">
            <w:pPr>
              <w:widowControl/>
              <w:spacing w:line="400" w:lineRule="exact"/>
              <w:ind w:firstLine="0" w:firstLineChars="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bidi="ar"/>
              </w:rPr>
              <w:t>宽度80厘米</w:t>
            </w:r>
            <w:r>
              <w:rPr>
                <w:rFonts w:hint="eastAsia" w:ascii="宋体" w:hAnsi="宋体" w:cs="宋体"/>
                <w:bCs/>
                <w:color w:val="auto"/>
                <w:szCs w:val="21"/>
                <w:highlight w:val="none"/>
                <w:lang w:eastAsia="zh-CN" w:bidi="ar"/>
              </w:rPr>
              <w:t>，</w:t>
            </w:r>
            <w:r>
              <w:rPr>
                <w:rFonts w:hint="eastAsia" w:ascii="宋体" w:hAnsi="宋体" w:cs="宋体"/>
                <w:bCs/>
                <w:color w:val="auto"/>
                <w:szCs w:val="21"/>
                <w:highlight w:val="none"/>
                <w:lang w:val="en-US" w:eastAsia="zh-CN" w:bidi="ar"/>
              </w:rPr>
              <w:t>长度</w:t>
            </w:r>
            <w:r>
              <w:rPr>
                <w:rFonts w:hint="eastAsia" w:ascii="宋体" w:hAnsi="宋体" w:cs="宋体"/>
                <w:bCs/>
                <w:color w:val="auto"/>
                <w:szCs w:val="21"/>
                <w:highlight w:val="none"/>
                <w:lang w:bidi="ar"/>
              </w:rPr>
              <w:t>2米以上</w:t>
            </w:r>
            <w:r>
              <w:rPr>
                <w:rStyle w:val="50"/>
                <w:rFonts w:hint="eastAsia"/>
                <w:color w:val="auto"/>
                <w:kern w:val="0"/>
                <w:highlight w:val="none"/>
                <w:lang w:eastAsia="zh-CN"/>
              </w:rPr>
              <w:t>，不锈钢材质</w:t>
            </w:r>
          </w:p>
        </w:tc>
        <w:tc>
          <w:tcPr>
            <w:tcW w:w="1054" w:type="dxa"/>
            <w:vAlign w:val="center"/>
          </w:tcPr>
          <w:p w14:paraId="2F557B64">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4C6CD2A5">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77B6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5103595">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16</w:t>
            </w:r>
          </w:p>
        </w:tc>
        <w:tc>
          <w:tcPr>
            <w:tcW w:w="1309" w:type="dxa"/>
            <w:vAlign w:val="center"/>
          </w:tcPr>
          <w:p w14:paraId="2EE3B3D8">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煤炭粒度标准筛</w:t>
            </w:r>
          </w:p>
        </w:tc>
        <w:tc>
          <w:tcPr>
            <w:tcW w:w="4437" w:type="dxa"/>
            <w:vAlign w:val="center"/>
          </w:tcPr>
          <w:p w14:paraId="5A4C7531">
            <w:pPr>
              <w:widowControl/>
              <w:spacing w:line="400" w:lineRule="exact"/>
              <w:ind w:firstLine="0" w:firstLineChars="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bidi="ar"/>
              </w:rPr>
              <w:t>1</w:t>
            </w:r>
            <w:r>
              <w:rPr>
                <w:rFonts w:ascii="宋体" w:hAnsi="宋体" w:cs="宋体"/>
                <w:bCs/>
                <w:color w:val="auto"/>
                <w:szCs w:val="21"/>
                <w:highlight w:val="none"/>
                <w:lang w:bidi="ar"/>
              </w:rPr>
              <w:t>mm</w:t>
            </w:r>
            <w:r>
              <w:rPr>
                <w:rFonts w:hint="eastAsia" w:ascii="宋体" w:hAnsi="宋体" w:cs="宋体"/>
                <w:bCs/>
                <w:color w:val="auto"/>
                <w:szCs w:val="21"/>
                <w:highlight w:val="none"/>
                <w:lang w:bidi="ar"/>
              </w:rPr>
              <w:t>、3mm、6.3mm、10mm、13mm、25mm、50mm、100mm</w:t>
            </w:r>
            <w:r>
              <w:rPr>
                <w:rFonts w:hint="eastAsia" w:ascii="宋体" w:hAnsi="宋体" w:cs="宋体"/>
                <w:bCs/>
                <w:color w:val="auto"/>
                <w:szCs w:val="21"/>
                <w:highlight w:val="none"/>
                <w:lang w:val="en-US" w:eastAsia="zh-CN" w:bidi="ar"/>
              </w:rPr>
              <w:t>各1个</w:t>
            </w:r>
          </w:p>
        </w:tc>
        <w:tc>
          <w:tcPr>
            <w:tcW w:w="1054" w:type="dxa"/>
            <w:vAlign w:val="center"/>
          </w:tcPr>
          <w:p w14:paraId="6821AD85">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套</w:t>
            </w:r>
          </w:p>
        </w:tc>
        <w:tc>
          <w:tcPr>
            <w:tcW w:w="995" w:type="dxa"/>
            <w:vAlign w:val="center"/>
          </w:tcPr>
          <w:p w14:paraId="71B8B04F">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492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4A191253">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17</w:t>
            </w:r>
          </w:p>
        </w:tc>
        <w:tc>
          <w:tcPr>
            <w:tcW w:w="1309" w:type="dxa"/>
            <w:vAlign w:val="center"/>
          </w:tcPr>
          <w:p w14:paraId="0EE5AFC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二分器</w:t>
            </w:r>
          </w:p>
        </w:tc>
        <w:tc>
          <w:tcPr>
            <w:tcW w:w="4437" w:type="dxa"/>
            <w:vAlign w:val="center"/>
          </w:tcPr>
          <w:p w14:paraId="7A162D66">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开放式，适用粒度3</w:t>
            </w:r>
            <w:r>
              <w:rPr>
                <w:rFonts w:hint="eastAsia" w:ascii="宋体" w:hAnsi="宋体" w:cs="宋体"/>
                <w:bCs/>
                <w:color w:val="auto"/>
                <w:szCs w:val="21"/>
                <w:highlight w:val="none"/>
                <w:lang w:val="en-US" w:eastAsia="zh-CN" w:bidi="ar"/>
              </w:rPr>
              <w:t>mm</w:t>
            </w:r>
            <w:r>
              <w:rPr>
                <w:rFonts w:hint="eastAsia" w:ascii="宋体" w:hAnsi="宋体" w:cs="宋体"/>
                <w:bCs/>
                <w:color w:val="auto"/>
                <w:szCs w:val="21"/>
                <w:highlight w:val="none"/>
                <w:lang w:bidi="ar"/>
              </w:rPr>
              <w:t>、6</w:t>
            </w:r>
            <w:r>
              <w:rPr>
                <w:rFonts w:hint="eastAsia" w:ascii="宋体" w:hAnsi="宋体" w:cs="宋体"/>
                <w:bCs/>
                <w:color w:val="auto"/>
                <w:szCs w:val="21"/>
                <w:highlight w:val="none"/>
                <w:lang w:val="en-US" w:eastAsia="zh-CN" w:bidi="ar"/>
              </w:rPr>
              <w:t>mm</w:t>
            </w:r>
            <w:r>
              <w:rPr>
                <w:rFonts w:hint="eastAsia" w:ascii="宋体" w:hAnsi="宋体" w:cs="宋体"/>
                <w:bCs/>
                <w:color w:val="auto"/>
                <w:szCs w:val="21"/>
                <w:highlight w:val="none"/>
                <w:lang w:bidi="ar"/>
              </w:rPr>
              <w:t>、13</w:t>
            </w:r>
            <w:r>
              <w:rPr>
                <w:rFonts w:hint="eastAsia" w:ascii="宋体" w:hAnsi="宋体" w:cs="宋体"/>
                <w:bCs/>
                <w:color w:val="auto"/>
                <w:szCs w:val="21"/>
                <w:highlight w:val="none"/>
                <w:lang w:val="en-US" w:eastAsia="zh-CN" w:bidi="ar"/>
              </w:rPr>
              <w:t>mm</w:t>
            </w:r>
            <w:r>
              <w:rPr>
                <w:rFonts w:hint="eastAsia" w:ascii="宋体" w:hAnsi="宋体" w:cs="宋体"/>
                <w:bCs/>
                <w:color w:val="auto"/>
                <w:szCs w:val="21"/>
                <w:highlight w:val="none"/>
                <w:lang w:bidi="ar"/>
              </w:rPr>
              <w:t>各一个</w:t>
            </w:r>
          </w:p>
        </w:tc>
        <w:tc>
          <w:tcPr>
            <w:tcW w:w="1054" w:type="dxa"/>
            <w:vAlign w:val="center"/>
          </w:tcPr>
          <w:p w14:paraId="7F3B871A">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套</w:t>
            </w:r>
          </w:p>
        </w:tc>
        <w:tc>
          <w:tcPr>
            <w:tcW w:w="995" w:type="dxa"/>
            <w:vAlign w:val="center"/>
          </w:tcPr>
          <w:p w14:paraId="4ADA6AC7">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1FA0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57EDAA32">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18</w:t>
            </w:r>
          </w:p>
        </w:tc>
        <w:tc>
          <w:tcPr>
            <w:tcW w:w="1309" w:type="dxa"/>
            <w:vAlign w:val="center"/>
          </w:tcPr>
          <w:p w14:paraId="5E653A60">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货架</w:t>
            </w:r>
          </w:p>
        </w:tc>
        <w:tc>
          <w:tcPr>
            <w:tcW w:w="4437" w:type="dxa"/>
            <w:vAlign w:val="center"/>
          </w:tcPr>
          <w:p w14:paraId="72603AB7">
            <w:pPr>
              <w:widowControl/>
              <w:spacing w:line="400" w:lineRule="exact"/>
              <w:ind w:firstLine="0" w:firstLineChars="0"/>
              <w:rPr>
                <w:rFonts w:ascii="宋体" w:hAnsi="宋体" w:cs="宋体"/>
                <w:bCs/>
                <w:color w:val="auto"/>
                <w:szCs w:val="21"/>
                <w:highlight w:val="none"/>
              </w:rPr>
            </w:pPr>
            <w:r>
              <w:rPr>
                <w:rStyle w:val="50"/>
                <w:rFonts w:hint="eastAsia"/>
                <w:color w:val="auto"/>
                <w:kern w:val="0"/>
                <w:highlight w:val="none"/>
              </w:rPr>
              <w:t>结合招标人现场制样间的情况进行配置，样式和数量需经招标人认可</w:t>
            </w:r>
          </w:p>
        </w:tc>
        <w:tc>
          <w:tcPr>
            <w:tcW w:w="1054" w:type="dxa"/>
            <w:vAlign w:val="center"/>
          </w:tcPr>
          <w:p w14:paraId="23F1BBC0">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套</w:t>
            </w:r>
          </w:p>
        </w:tc>
        <w:tc>
          <w:tcPr>
            <w:tcW w:w="995" w:type="dxa"/>
            <w:vAlign w:val="center"/>
          </w:tcPr>
          <w:p w14:paraId="2F5C79CB">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2968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4C94A474">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19</w:t>
            </w:r>
          </w:p>
        </w:tc>
        <w:tc>
          <w:tcPr>
            <w:tcW w:w="1309" w:type="dxa"/>
            <w:vAlign w:val="center"/>
          </w:tcPr>
          <w:p w14:paraId="7861C69A">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实验室分析电子天平</w:t>
            </w:r>
          </w:p>
        </w:tc>
        <w:tc>
          <w:tcPr>
            <w:tcW w:w="4437" w:type="dxa"/>
            <w:vAlign w:val="center"/>
          </w:tcPr>
          <w:p w14:paraId="3F2491D6">
            <w:pPr>
              <w:widowControl/>
              <w:spacing w:line="400" w:lineRule="exact"/>
              <w:ind w:firstLine="0" w:firstLineChars="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bidi="ar"/>
              </w:rPr>
              <w:t>精度0.01</w:t>
            </w:r>
            <w:r>
              <w:rPr>
                <w:rFonts w:hint="eastAsia" w:ascii="宋体" w:hAnsi="宋体" w:cs="宋体"/>
                <w:bCs/>
                <w:color w:val="auto"/>
                <w:szCs w:val="21"/>
                <w:highlight w:val="none"/>
                <w:lang w:val="en-US" w:eastAsia="zh-CN" w:bidi="ar"/>
              </w:rPr>
              <w:t>g</w:t>
            </w:r>
            <w:r>
              <w:rPr>
                <w:rFonts w:hint="eastAsia" w:ascii="宋体" w:hAnsi="宋体" w:cs="宋体"/>
                <w:bCs/>
                <w:color w:val="auto"/>
                <w:szCs w:val="21"/>
                <w:highlight w:val="none"/>
                <w:lang w:bidi="ar"/>
              </w:rPr>
              <w:t>，量程3</w:t>
            </w:r>
            <w:r>
              <w:rPr>
                <w:rFonts w:hint="eastAsia" w:ascii="宋体" w:hAnsi="宋体" w:cs="宋体"/>
                <w:bCs/>
                <w:color w:val="auto"/>
                <w:szCs w:val="21"/>
                <w:highlight w:val="none"/>
                <w:lang w:val="en-US" w:eastAsia="zh-CN" w:bidi="ar"/>
              </w:rPr>
              <w:t>kg</w:t>
            </w:r>
          </w:p>
        </w:tc>
        <w:tc>
          <w:tcPr>
            <w:tcW w:w="1054" w:type="dxa"/>
            <w:vAlign w:val="center"/>
          </w:tcPr>
          <w:p w14:paraId="4F6B843A">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台</w:t>
            </w:r>
          </w:p>
        </w:tc>
        <w:tc>
          <w:tcPr>
            <w:tcW w:w="995" w:type="dxa"/>
            <w:vAlign w:val="center"/>
          </w:tcPr>
          <w:p w14:paraId="711DDA7D">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2A79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FE4F9EA">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20</w:t>
            </w:r>
          </w:p>
        </w:tc>
        <w:tc>
          <w:tcPr>
            <w:tcW w:w="1309" w:type="dxa"/>
            <w:vAlign w:val="center"/>
          </w:tcPr>
          <w:p w14:paraId="1D6D20A7">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电子秤</w:t>
            </w:r>
          </w:p>
        </w:tc>
        <w:tc>
          <w:tcPr>
            <w:tcW w:w="4437" w:type="dxa"/>
            <w:vAlign w:val="center"/>
          </w:tcPr>
          <w:p w14:paraId="0ABDB8AA">
            <w:pPr>
              <w:widowControl/>
              <w:spacing w:line="400" w:lineRule="exact"/>
              <w:ind w:firstLine="0" w:firstLineChars="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bidi="ar"/>
              </w:rPr>
              <w:t>精度0.1g、量程15</w:t>
            </w:r>
            <w:r>
              <w:rPr>
                <w:rFonts w:hint="eastAsia" w:ascii="宋体" w:hAnsi="宋体" w:cs="宋体"/>
                <w:bCs/>
                <w:color w:val="auto"/>
                <w:szCs w:val="21"/>
                <w:highlight w:val="none"/>
                <w:lang w:val="en-US" w:eastAsia="zh-CN" w:bidi="ar"/>
              </w:rPr>
              <w:t>kg</w:t>
            </w:r>
          </w:p>
        </w:tc>
        <w:tc>
          <w:tcPr>
            <w:tcW w:w="1054" w:type="dxa"/>
            <w:vAlign w:val="center"/>
          </w:tcPr>
          <w:p w14:paraId="5110402D">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台</w:t>
            </w:r>
          </w:p>
        </w:tc>
        <w:tc>
          <w:tcPr>
            <w:tcW w:w="995" w:type="dxa"/>
            <w:vAlign w:val="center"/>
          </w:tcPr>
          <w:p w14:paraId="11C5D10F">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w:t>
            </w:r>
          </w:p>
        </w:tc>
      </w:tr>
      <w:tr w14:paraId="0933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DE7F25F">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21</w:t>
            </w:r>
          </w:p>
        </w:tc>
        <w:tc>
          <w:tcPr>
            <w:tcW w:w="1309" w:type="dxa"/>
            <w:vAlign w:val="center"/>
          </w:tcPr>
          <w:p w14:paraId="75363A39">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不锈钢样品托盘</w:t>
            </w:r>
          </w:p>
        </w:tc>
        <w:tc>
          <w:tcPr>
            <w:tcW w:w="4437" w:type="dxa"/>
            <w:vAlign w:val="center"/>
          </w:tcPr>
          <w:p w14:paraId="17EE2CF1">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10个，外形尺寸：310×210mm。10个外形尺寸：500×350mm。</w:t>
            </w:r>
          </w:p>
        </w:tc>
        <w:tc>
          <w:tcPr>
            <w:tcW w:w="1054" w:type="dxa"/>
            <w:vAlign w:val="center"/>
          </w:tcPr>
          <w:p w14:paraId="0656D4B8">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1C686A1B">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10</w:t>
            </w:r>
          </w:p>
        </w:tc>
      </w:tr>
      <w:tr w14:paraId="7AF6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1B2D6C87">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22</w:t>
            </w:r>
          </w:p>
        </w:tc>
        <w:tc>
          <w:tcPr>
            <w:tcW w:w="1309" w:type="dxa"/>
            <w:vAlign w:val="center"/>
          </w:tcPr>
          <w:p w14:paraId="22F76D81">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样品铲</w:t>
            </w:r>
          </w:p>
        </w:tc>
        <w:tc>
          <w:tcPr>
            <w:tcW w:w="4437" w:type="dxa"/>
            <w:vAlign w:val="center"/>
          </w:tcPr>
          <w:p w14:paraId="6BA32924">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制样工具</w:t>
            </w:r>
          </w:p>
        </w:tc>
        <w:tc>
          <w:tcPr>
            <w:tcW w:w="1054" w:type="dxa"/>
            <w:vAlign w:val="center"/>
          </w:tcPr>
          <w:p w14:paraId="5A783684">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套</w:t>
            </w:r>
          </w:p>
        </w:tc>
        <w:tc>
          <w:tcPr>
            <w:tcW w:w="995" w:type="dxa"/>
            <w:vAlign w:val="center"/>
          </w:tcPr>
          <w:p w14:paraId="2AE297C0">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3</w:t>
            </w:r>
          </w:p>
        </w:tc>
      </w:tr>
      <w:tr w14:paraId="2F50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FC6A97D">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23</w:t>
            </w:r>
          </w:p>
        </w:tc>
        <w:tc>
          <w:tcPr>
            <w:tcW w:w="1309" w:type="dxa"/>
            <w:vAlign w:val="center"/>
          </w:tcPr>
          <w:p w14:paraId="151512C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样品柜</w:t>
            </w:r>
          </w:p>
        </w:tc>
        <w:tc>
          <w:tcPr>
            <w:tcW w:w="4437" w:type="dxa"/>
            <w:vAlign w:val="center"/>
          </w:tcPr>
          <w:p w14:paraId="07FEF555">
            <w:pPr>
              <w:widowControl/>
              <w:spacing w:line="400" w:lineRule="exact"/>
              <w:ind w:firstLine="0" w:firstLineChars="0"/>
              <w:rPr>
                <w:rFonts w:ascii="宋体" w:hAnsi="宋体" w:cs="宋体"/>
                <w:bCs/>
                <w:color w:val="auto"/>
                <w:szCs w:val="21"/>
                <w:highlight w:val="none"/>
              </w:rPr>
            </w:pPr>
            <w:r>
              <w:rPr>
                <w:rStyle w:val="50"/>
                <w:rFonts w:hint="eastAsia"/>
                <w:color w:val="auto"/>
                <w:kern w:val="0"/>
                <w:highlight w:val="none"/>
              </w:rPr>
              <w:t>结合招标人现场制样间的情况进行配置，样式需经招标人认可</w:t>
            </w:r>
          </w:p>
        </w:tc>
        <w:tc>
          <w:tcPr>
            <w:tcW w:w="1054" w:type="dxa"/>
            <w:vAlign w:val="center"/>
          </w:tcPr>
          <w:p w14:paraId="2F0163B7">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70AA375F">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5</w:t>
            </w:r>
          </w:p>
        </w:tc>
      </w:tr>
      <w:tr w14:paraId="05FD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5AA406ED">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24</w:t>
            </w:r>
          </w:p>
        </w:tc>
        <w:tc>
          <w:tcPr>
            <w:tcW w:w="1309" w:type="dxa"/>
            <w:vAlign w:val="center"/>
          </w:tcPr>
          <w:p w14:paraId="02E7157B">
            <w:pPr>
              <w:widowControl/>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lang w:bidi="ar"/>
              </w:rPr>
              <w:t>办公桌椅</w:t>
            </w:r>
          </w:p>
        </w:tc>
        <w:tc>
          <w:tcPr>
            <w:tcW w:w="4437" w:type="dxa"/>
            <w:vAlign w:val="center"/>
          </w:tcPr>
          <w:p w14:paraId="0A34ED30">
            <w:pPr>
              <w:spacing w:line="400" w:lineRule="exact"/>
              <w:ind w:firstLine="0" w:firstLineChars="0"/>
              <w:rPr>
                <w:rFonts w:ascii="宋体" w:hAnsi="宋体" w:cs="宋体"/>
                <w:bCs/>
                <w:color w:val="auto"/>
                <w:szCs w:val="21"/>
                <w:highlight w:val="none"/>
              </w:rPr>
            </w:pPr>
            <w:r>
              <w:rPr>
                <w:rFonts w:hint="eastAsia" w:ascii="宋体" w:hAnsi="宋体" w:cs="宋体"/>
                <w:bCs/>
                <w:color w:val="auto"/>
                <w:szCs w:val="21"/>
                <w:highlight w:val="none"/>
              </w:rPr>
              <w:t>结合招标人现场制样间的情况进行配置，样式需经招标人认可</w:t>
            </w:r>
          </w:p>
        </w:tc>
        <w:tc>
          <w:tcPr>
            <w:tcW w:w="1054" w:type="dxa"/>
            <w:vAlign w:val="center"/>
          </w:tcPr>
          <w:p w14:paraId="52548341">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套</w:t>
            </w:r>
          </w:p>
        </w:tc>
        <w:tc>
          <w:tcPr>
            <w:tcW w:w="995" w:type="dxa"/>
            <w:vAlign w:val="center"/>
          </w:tcPr>
          <w:p w14:paraId="4F4A9349">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2</w:t>
            </w:r>
          </w:p>
        </w:tc>
      </w:tr>
      <w:tr w14:paraId="216E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29A38319">
            <w:pPr>
              <w:spacing w:line="400" w:lineRule="exact"/>
              <w:ind w:firstLine="0" w:firstLineChars="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25</w:t>
            </w:r>
          </w:p>
        </w:tc>
        <w:tc>
          <w:tcPr>
            <w:tcW w:w="1309" w:type="dxa"/>
            <w:vAlign w:val="center"/>
          </w:tcPr>
          <w:p w14:paraId="4A999207">
            <w:pPr>
              <w:widowControl/>
              <w:spacing w:line="400" w:lineRule="exact"/>
              <w:ind w:firstLine="0" w:firstLineChars="0"/>
              <w:jc w:val="left"/>
              <w:rPr>
                <w:rFonts w:ascii="宋体" w:hAnsi="宋体" w:cs="宋体"/>
                <w:bCs/>
                <w:color w:val="auto"/>
                <w:szCs w:val="21"/>
                <w:highlight w:val="none"/>
              </w:rPr>
            </w:pPr>
            <w:r>
              <w:rPr>
                <w:rFonts w:hint="eastAsia" w:ascii="宋体" w:hAnsi="宋体" w:cs="宋体"/>
                <w:bCs/>
                <w:color w:val="auto"/>
                <w:szCs w:val="21"/>
                <w:highlight w:val="none"/>
                <w:lang w:bidi="ar"/>
              </w:rPr>
              <w:t>文件柜</w:t>
            </w:r>
          </w:p>
        </w:tc>
        <w:tc>
          <w:tcPr>
            <w:tcW w:w="4437" w:type="dxa"/>
            <w:vAlign w:val="center"/>
          </w:tcPr>
          <w:p w14:paraId="1EBB8436">
            <w:pPr>
              <w:widowControl/>
              <w:spacing w:line="400" w:lineRule="exact"/>
              <w:ind w:firstLine="0" w:firstLineChars="0"/>
              <w:jc w:val="left"/>
              <w:rPr>
                <w:rFonts w:ascii="宋体" w:hAnsi="宋体" w:cs="宋体"/>
                <w:bCs/>
                <w:color w:val="auto"/>
                <w:szCs w:val="21"/>
                <w:highlight w:val="none"/>
              </w:rPr>
            </w:pPr>
            <w:r>
              <w:rPr>
                <w:rStyle w:val="50"/>
                <w:rFonts w:hint="eastAsia"/>
                <w:color w:val="auto"/>
                <w:kern w:val="0"/>
                <w:highlight w:val="none"/>
              </w:rPr>
              <w:t>结合招标人现场制样间的情况进行配置，样式需经招标人认可</w:t>
            </w:r>
          </w:p>
        </w:tc>
        <w:tc>
          <w:tcPr>
            <w:tcW w:w="1054" w:type="dxa"/>
            <w:vAlign w:val="center"/>
          </w:tcPr>
          <w:p w14:paraId="0888F65E">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个</w:t>
            </w:r>
          </w:p>
        </w:tc>
        <w:tc>
          <w:tcPr>
            <w:tcW w:w="995" w:type="dxa"/>
            <w:vAlign w:val="center"/>
          </w:tcPr>
          <w:p w14:paraId="48BCB958">
            <w:pPr>
              <w:widowControl/>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lang w:bidi="ar"/>
              </w:rPr>
              <w:t>3</w:t>
            </w:r>
          </w:p>
        </w:tc>
      </w:tr>
    </w:tbl>
    <w:p w14:paraId="4B890F51">
      <w:pPr>
        <w:pStyle w:val="13"/>
        <w:spacing w:after="0"/>
        <w:ind w:firstLine="0" w:firstLineChars="0"/>
        <w:rPr>
          <w:rFonts w:ascii="宋体" w:hAnsi="宋体" w:cs="宋体"/>
          <w:color w:val="auto"/>
          <w:sz w:val="21"/>
          <w:szCs w:val="21"/>
          <w:highlight w:val="none"/>
        </w:rPr>
      </w:pPr>
    </w:p>
    <w:p w14:paraId="108EB971">
      <w:pPr>
        <w:pStyle w:val="29"/>
        <w:ind w:left="0" w:leftChars="0" w:hanging="5" w:firstLineChars="0"/>
        <w:outlineLvl w:val="3"/>
        <w:rPr>
          <w:rFonts w:ascii="宋体" w:hAnsi="宋体" w:cs="宋体"/>
          <w:b/>
          <w:bCs/>
          <w:color w:val="auto"/>
          <w:szCs w:val="21"/>
          <w:highlight w:val="none"/>
        </w:rPr>
      </w:pPr>
      <w:r>
        <w:rPr>
          <w:rFonts w:hint="eastAsia" w:ascii="宋体" w:hAnsi="宋体" w:cs="宋体"/>
          <w:b/>
          <w:bCs/>
          <w:color w:val="auto"/>
          <w:szCs w:val="21"/>
          <w:highlight w:val="none"/>
        </w:rPr>
        <w:t>3.2铁矿制样设备清单</w:t>
      </w:r>
    </w:p>
    <w:tbl>
      <w:tblPr>
        <w:tblStyle w:val="42"/>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8"/>
        <w:gridCol w:w="4425"/>
        <w:gridCol w:w="1050"/>
        <w:gridCol w:w="1010"/>
      </w:tblGrid>
      <w:tr w14:paraId="086E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3B707489">
            <w:pPr>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kern w:val="0"/>
                <w:szCs w:val="21"/>
                <w:highlight w:val="none"/>
              </w:rPr>
              <w:t>序号</w:t>
            </w:r>
          </w:p>
        </w:tc>
        <w:tc>
          <w:tcPr>
            <w:tcW w:w="1318" w:type="dxa"/>
            <w:vAlign w:val="center"/>
          </w:tcPr>
          <w:p w14:paraId="25FA3A7E">
            <w:pPr>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kern w:val="0"/>
                <w:szCs w:val="21"/>
                <w:highlight w:val="none"/>
              </w:rPr>
              <w:t>设备名称</w:t>
            </w:r>
          </w:p>
        </w:tc>
        <w:tc>
          <w:tcPr>
            <w:tcW w:w="4425" w:type="dxa"/>
            <w:vAlign w:val="center"/>
          </w:tcPr>
          <w:p w14:paraId="468FFD1A">
            <w:pPr>
              <w:adjustRightInd w:val="0"/>
              <w:spacing w:line="400" w:lineRule="exact"/>
              <w:ind w:firstLine="0" w:firstLineChars="0"/>
              <w:jc w:val="center"/>
              <w:textAlignment w:val="baseline"/>
              <w:rPr>
                <w:rFonts w:ascii="宋体" w:hAnsi="宋体" w:cs="宋体"/>
                <w:bCs/>
                <w:color w:val="auto"/>
                <w:szCs w:val="21"/>
                <w:highlight w:val="none"/>
              </w:rPr>
            </w:pPr>
            <w:r>
              <w:rPr>
                <w:rFonts w:hint="eastAsia" w:ascii="宋体" w:hAnsi="宋体" w:cs="宋体"/>
                <w:color w:val="auto"/>
                <w:kern w:val="0"/>
                <w:szCs w:val="21"/>
                <w:highlight w:val="none"/>
              </w:rPr>
              <w:t>技术参数及规范</w:t>
            </w:r>
          </w:p>
        </w:tc>
        <w:tc>
          <w:tcPr>
            <w:tcW w:w="1050" w:type="dxa"/>
            <w:vAlign w:val="center"/>
          </w:tcPr>
          <w:p w14:paraId="2F4F0114">
            <w:pPr>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kern w:val="0"/>
                <w:szCs w:val="21"/>
                <w:highlight w:val="none"/>
              </w:rPr>
              <w:t>单位</w:t>
            </w:r>
          </w:p>
        </w:tc>
        <w:tc>
          <w:tcPr>
            <w:tcW w:w="1010" w:type="dxa"/>
            <w:vAlign w:val="center"/>
          </w:tcPr>
          <w:p w14:paraId="022267F6">
            <w:pPr>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kern w:val="0"/>
                <w:szCs w:val="21"/>
                <w:highlight w:val="none"/>
              </w:rPr>
              <w:t>数量</w:t>
            </w:r>
          </w:p>
        </w:tc>
      </w:tr>
      <w:tr w14:paraId="4BF5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079CF3D8">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c>
          <w:tcPr>
            <w:tcW w:w="1318" w:type="dxa"/>
            <w:vAlign w:val="center"/>
          </w:tcPr>
          <w:p w14:paraId="6073CC3D">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对辊破碎机</w:t>
            </w:r>
          </w:p>
        </w:tc>
        <w:tc>
          <w:tcPr>
            <w:tcW w:w="4425" w:type="dxa"/>
            <w:vAlign w:val="center"/>
          </w:tcPr>
          <w:p w14:paraId="76381D3F">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符合GB_T 10322.1-2023《铁矿石取样、制样方法》要求；</w:t>
            </w:r>
          </w:p>
          <w:p w14:paraId="14D7A1EC">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1.出料粒度可调节，并配有可视刻度表，粒度调节方便快捷。</w:t>
            </w:r>
          </w:p>
          <w:p w14:paraId="3C1C4FA5">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2.采用可拆卸式侧护板结构，方便清扫和维护。</w:t>
            </w:r>
          </w:p>
          <w:p w14:paraId="65AEF696">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3.防飞溅下料口，防止下料和破碎过程中样品飞溅打滑，降低污染，提高操作安全性。</w:t>
            </w:r>
          </w:p>
          <w:p w14:paraId="1A08F564">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4.破碎辊轮采用合金材料，耐磨性好。</w:t>
            </w:r>
          </w:p>
          <w:p w14:paraId="7C05DD36">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5.整机采用密封式设计，粉尘外泄率低，符合环保要求。</w:t>
            </w:r>
          </w:p>
          <w:p w14:paraId="0E345595">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6.传动机构均设有防护措施，符合安全生产要求。</w:t>
            </w:r>
          </w:p>
          <w:p w14:paraId="5CB1CEE1">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7.预留除尘接口，可根据实际需要连接除尘系统。</w:t>
            </w:r>
          </w:p>
          <w:p w14:paraId="4E02D913">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8.入料粒度(mm):≤13</w:t>
            </w:r>
          </w:p>
          <w:p w14:paraId="1B3B4930">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★9.出料粒度(mm):≤1～3(可调)</w:t>
            </w:r>
          </w:p>
          <w:p w14:paraId="381C5299">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10.适应全水分(%):≤12</w:t>
            </w:r>
          </w:p>
          <w:p w14:paraId="031E2214">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11.生产率(kg/h):＞300</w:t>
            </w:r>
          </w:p>
          <w:p w14:paraId="0367D82F">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12.工作电源:AC380V±10%，50Hz±1Hz</w:t>
            </w:r>
          </w:p>
          <w:p w14:paraId="12A48774">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13.最大功率(kW):≤4</w:t>
            </w:r>
          </w:p>
          <w:p w14:paraId="2B0D7EC6">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14.重量(kg):365无需设置</w:t>
            </w:r>
          </w:p>
          <w:p w14:paraId="321BB8F5">
            <w:pPr>
              <w:spacing w:line="40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15.外形尺寸(mm):930×585×885无需设置</w:t>
            </w:r>
          </w:p>
          <w:p w14:paraId="43202442">
            <w:pPr>
              <w:spacing w:line="400" w:lineRule="exact"/>
              <w:ind w:firstLine="0" w:firstLineChars="0"/>
              <w:rPr>
                <w:rFonts w:hint="eastAsia"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0" w:type="dxa"/>
            <w:vAlign w:val="center"/>
          </w:tcPr>
          <w:p w14:paraId="7A1F7E9D">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台</w:t>
            </w:r>
          </w:p>
        </w:tc>
        <w:tc>
          <w:tcPr>
            <w:tcW w:w="1010" w:type="dxa"/>
            <w:vAlign w:val="center"/>
          </w:tcPr>
          <w:p w14:paraId="11542961">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r>
      <w:tr w14:paraId="6972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7C590B94">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2</w:t>
            </w:r>
          </w:p>
        </w:tc>
        <w:tc>
          <w:tcPr>
            <w:tcW w:w="1318" w:type="dxa"/>
            <w:vAlign w:val="center"/>
          </w:tcPr>
          <w:p w14:paraId="34730643">
            <w:pPr>
              <w:widowControl/>
              <w:spacing w:line="400" w:lineRule="exact"/>
              <w:ind w:firstLine="0" w:firstLineChars="0"/>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颚式破碎机</w:t>
            </w:r>
          </w:p>
        </w:tc>
        <w:tc>
          <w:tcPr>
            <w:tcW w:w="4425" w:type="dxa"/>
            <w:vAlign w:val="center"/>
          </w:tcPr>
          <w:p w14:paraId="1B928B26">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符合GB_T 10322.1-2023《铁矿石取样、制样方法》要求；</w:t>
            </w:r>
          </w:p>
          <w:p w14:paraId="60DF87DE">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1.出料粒度可调节机构，粒度调节方便快捷。</w:t>
            </w:r>
          </w:p>
          <w:p w14:paraId="1B37DF7F">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2.动颚板、定颚板采用合金材料，耐磨性好，且采用对称设计可调换安装，使用寿命大幅延长。</w:t>
            </w:r>
          </w:p>
          <w:p w14:paraId="309C3B51">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3.采用活动式前门箱体，方便清扫和维护。</w:t>
            </w:r>
          </w:p>
          <w:p w14:paraId="1DD8C6F3">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4.整机采用密封式设计，粉尘外泄率低，符合环保要求。</w:t>
            </w:r>
          </w:p>
          <w:p w14:paraId="478640B2">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5.传动机构均设有防护措施，符合安全生产要求。</w:t>
            </w:r>
          </w:p>
          <w:p w14:paraId="2BA41B4B">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6.预留除尘接口，可根据实际需要连接除尘系统。</w:t>
            </w:r>
          </w:p>
          <w:p w14:paraId="5EC87E1F">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7.入料口尺寸(mm)100×60</w:t>
            </w:r>
            <w:r>
              <w:rPr>
                <w:rFonts w:hint="eastAsia" w:ascii="宋体" w:eastAsia="宋体" w:cs="宋体"/>
                <w:b w:val="0"/>
                <w:bCs w:val="0"/>
                <w:color w:val="auto"/>
                <w:sz w:val="21"/>
                <w:szCs w:val="21"/>
                <w:highlight w:val="none"/>
              </w:rPr>
              <w:tab/>
            </w:r>
            <w:r>
              <w:rPr>
                <w:rFonts w:hint="eastAsia" w:ascii="宋体" w:eastAsia="宋体" w:cs="宋体"/>
                <w:b w:val="0"/>
                <w:bCs w:val="0"/>
                <w:color w:val="auto"/>
                <w:sz w:val="21"/>
                <w:szCs w:val="21"/>
                <w:highlight w:val="none"/>
              </w:rPr>
              <w:t>无需设置</w:t>
            </w:r>
          </w:p>
          <w:p w14:paraId="2042B130">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8.入料粒度(mm)≤50</w:t>
            </w:r>
          </w:p>
          <w:p w14:paraId="776D35B6">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★9.出料粒度(mm)≤6～13(可调)</w:t>
            </w:r>
          </w:p>
          <w:p w14:paraId="2D4C6722">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10.适应全水分(%)≤12</w:t>
            </w:r>
          </w:p>
          <w:p w14:paraId="64BB751C">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11.生产率(kg/h)</w:t>
            </w:r>
            <w:r>
              <w:rPr>
                <w:rFonts w:hint="eastAsia" w:ascii="宋体" w:eastAsia="宋体" w:cs="宋体"/>
                <w:b w:val="0"/>
                <w:bCs w:val="0"/>
                <w:color w:val="auto"/>
                <w:sz w:val="21"/>
                <w:szCs w:val="21"/>
                <w:highlight w:val="none"/>
              </w:rPr>
              <w:tab/>
            </w:r>
            <w:r>
              <w:rPr>
                <w:rFonts w:hint="eastAsia" w:ascii="宋体" w:eastAsia="宋体" w:cs="宋体"/>
                <w:b w:val="0"/>
                <w:bCs w:val="0"/>
                <w:color w:val="auto"/>
                <w:sz w:val="21"/>
                <w:szCs w:val="21"/>
                <w:highlight w:val="none"/>
              </w:rPr>
              <w:t>200～500</w:t>
            </w:r>
          </w:p>
          <w:p w14:paraId="09B5F3BB">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12.工作电源</w:t>
            </w:r>
            <w:r>
              <w:rPr>
                <w:rFonts w:hint="eastAsia" w:ascii="宋体" w:eastAsia="宋体" w:cs="宋体"/>
                <w:b w:val="0"/>
                <w:bCs w:val="0"/>
                <w:color w:val="auto"/>
                <w:sz w:val="21"/>
                <w:szCs w:val="21"/>
                <w:highlight w:val="none"/>
              </w:rPr>
              <w:tab/>
            </w:r>
            <w:r>
              <w:rPr>
                <w:rFonts w:hint="eastAsia" w:ascii="宋体" w:eastAsia="宋体" w:cs="宋体"/>
                <w:b w:val="0"/>
                <w:bCs w:val="0"/>
                <w:color w:val="auto"/>
                <w:sz w:val="21"/>
                <w:szCs w:val="21"/>
                <w:highlight w:val="none"/>
              </w:rPr>
              <w:t>AC380V±10%，50Hz±1Hz</w:t>
            </w:r>
          </w:p>
          <w:p w14:paraId="4E9630B5">
            <w:pPr>
              <w:pStyle w:val="12"/>
              <w:spacing w:before="0" w:line="400" w:lineRule="exact"/>
              <w:ind w:firstLine="0" w:firstLineChars="0"/>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13.最大功率(kW)</w:t>
            </w:r>
            <w:r>
              <w:rPr>
                <w:rFonts w:hint="eastAsia" w:ascii="宋体" w:eastAsia="宋体" w:cs="宋体"/>
                <w:b w:val="0"/>
                <w:bCs w:val="0"/>
                <w:color w:val="auto"/>
                <w:sz w:val="21"/>
                <w:szCs w:val="21"/>
                <w:highlight w:val="none"/>
              </w:rPr>
              <w:tab/>
            </w:r>
            <w:r>
              <w:rPr>
                <w:rFonts w:hint="eastAsia" w:ascii="宋体" w:eastAsia="宋体" w:cs="宋体"/>
                <w:b w:val="0"/>
                <w:bCs w:val="0"/>
                <w:color w:val="auto"/>
                <w:sz w:val="21"/>
                <w:szCs w:val="21"/>
                <w:highlight w:val="none"/>
              </w:rPr>
              <w:t>≤7.5</w:t>
            </w:r>
          </w:p>
          <w:p w14:paraId="65BDB451">
            <w:pPr>
              <w:pStyle w:val="12"/>
              <w:spacing w:before="0" w:line="400" w:lineRule="exact"/>
              <w:ind w:firstLine="0" w:firstLineChars="0"/>
              <w:rPr>
                <w:rFonts w:hint="eastAsia"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14.外形尺寸(mm)</w:t>
            </w:r>
            <w:r>
              <w:rPr>
                <w:rFonts w:hint="eastAsia" w:ascii="宋体" w:eastAsia="宋体" w:cs="宋体"/>
                <w:b w:val="0"/>
                <w:bCs w:val="0"/>
                <w:color w:val="auto"/>
                <w:sz w:val="21"/>
                <w:szCs w:val="21"/>
                <w:highlight w:val="none"/>
              </w:rPr>
              <w:tab/>
            </w:r>
            <w:r>
              <w:rPr>
                <w:rFonts w:hint="eastAsia" w:ascii="宋体" w:eastAsia="宋体" w:cs="宋体"/>
                <w:b w:val="0"/>
                <w:bCs w:val="0"/>
                <w:color w:val="auto"/>
                <w:sz w:val="21"/>
                <w:szCs w:val="21"/>
                <w:highlight w:val="none"/>
              </w:rPr>
              <w:t>880×580×795无需设置</w:t>
            </w:r>
          </w:p>
          <w:p w14:paraId="2134008B">
            <w:pPr>
              <w:pStyle w:val="12"/>
              <w:spacing w:before="0" w:line="400" w:lineRule="exact"/>
              <w:ind w:firstLine="0" w:firstLineChars="0"/>
              <w:rPr>
                <w:rFonts w:hint="eastAsia" w:asci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rPr>
              <w:t>★设备经厂家质检部门按国家标准、各项性能参数、安全指标、外观装配均符合出厂要求，检验合格，并出具产品合格证。</w:t>
            </w:r>
          </w:p>
        </w:tc>
        <w:tc>
          <w:tcPr>
            <w:tcW w:w="1050" w:type="dxa"/>
            <w:vAlign w:val="center"/>
          </w:tcPr>
          <w:p w14:paraId="2E5C5961">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台</w:t>
            </w:r>
          </w:p>
        </w:tc>
        <w:tc>
          <w:tcPr>
            <w:tcW w:w="1010" w:type="dxa"/>
            <w:vAlign w:val="center"/>
          </w:tcPr>
          <w:p w14:paraId="4B3559AB">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r>
      <w:tr w14:paraId="3629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33A6AFA1">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3</w:t>
            </w:r>
          </w:p>
        </w:tc>
        <w:tc>
          <w:tcPr>
            <w:tcW w:w="1318" w:type="dxa"/>
            <w:vAlign w:val="center"/>
          </w:tcPr>
          <w:p w14:paraId="56B9BC67">
            <w:pPr>
              <w:widowControl/>
              <w:spacing w:line="400" w:lineRule="exact"/>
              <w:ind w:firstLine="0" w:firstLineChars="0"/>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制样粉碎机</w:t>
            </w:r>
          </w:p>
        </w:tc>
        <w:tc>
          <w:tcPr>
            <w:tcW w:w="4425" w:type="dxa"/>
            <w:vAlign w:val="center"/>
          </w:tcPr>
          <w:p w14:paraId="0F4EF9B9">
            <w:pPr>
              <w:adjustRightInd w:val="0"/>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制粉粒度均匀细微，过筛率符合国标要求。</w:t>
            </w:r>
          </w:p>
          <w:p w14:paraId="1D59AC3C">
            <w:pPr>
              <w:adjustRightInd w:val="0"/>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2.粉碎</w:t>
            </w:r>
            <w:r>
              <w:rPr>
                <w:rFonts w:hint="eastAsia" w:ascii="宋体" w:hAnsi="宋体" w:cs="宋体"/>
                <w:color w:val="auto"/>
                <w:szCs w:val="21"/>
                <w:highlight w:val="none"/>
              </w:rPr>
              <w:t>装置采用快速压紧方式，操作方便快捷，压紧后密封性好，确保样品无损失。</w:t>
            </w:r>
          </w:p>
          <w:p w14:paraId="4674328F">
            <w:pPr>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上盖采用气弹簧支撑，并具有开盖自动断电功能，保护人员和设备安全。</w:t>
            </w:r>
          </w:p>
          <w:p w14:paraId="5C2620F7">
            <w:pPr>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4.</w:t>
            </w:r>
            <w:r>
              <w:rPr>
                <w:rFonts w:hint="eastAsia" w:ascii="宋体" w:hAnsi="宋体" w:cs="宋体"/>
                <w:color w:val="auto"/>
                <w:szCs w:val="21"/>
                <w:highlight w:val="none"/>
              </w:rPr>
              <w:t>偏心组件与电机轴采用分离式结构，提高电机使用寿命。</w:t>
            </w:r>
          </w:p>
          <w:p w14:paraId="39208E38">
            <w:pPr>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5.采用特种振动电动机，工作可靠，制样效率高。</w:t>
            </w:r>
          </w:p>
          <w:p w14:paraId="1709CA95">
            <w:pPr>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6.</w:t>
            </w:r>
            <w:r>
              <w:rPr>
                <w:rFonts w:hint="eastAsia" w:ascii="宋体" w:hAnsi="宋体" w:cs="宋体"/>
                <w:color w:val="auto"/>
                <w:szCs w:val="21"/>
                <w:highlight w:val="none"/>
              </w:rPr>
              <w:t>整机采用密封式设计，粉尘外泄率低，</w:t>
            </w:r>
            <w:r>
              <w:rPr>
                <w:rFonts w:hint="eastAsia" w:ascii="宋体" w:hAnsi="宋体" w:cs="宋体"/>
                <w:color w:val="auto"/>
                <w:kern w:val="0"/>
                <w:szCs w:val="21"/>
                <w:highlight w:val="none"/>
              </w:rPr>
              <w:t>符合环保要求。</w:t>
            </w:r>
          </w:p>
          <w:p w14:paraId="1527E251">
            <w:pPr>
              <w:spacing w:line="40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粉碎装置采用合金材质(标配)，耐磨性好，针对高硬度物料可提供碳化钨材质（需选配）。</w:t>
            </w:r>
          </w:p>
          <w:p w14:paraId="27B62F63">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8.预留除尘接口，可根据实际需要连接除尘系统。</w:t>
            </w:r>
          </w:p>
          <w:p w14:paraId="2357C842">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9.粉碎装置数量(个):3</w:t>
            </w:r>
          </w:p>
          <w:p w14:paraId="5CD4D045">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10.装料总质量(g):3×100</w:t>
            </w:r>
          </w:p>
          <w:p w14:paraId="04A1AB25">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11.入料粒度(mm):≤13</w:t>
            </w:r>
          </w:p>
          <w:p w14:paraId="7D0CB398">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12.出料粒度(mm):≤0.2～0.071</w:t>
            </w:r>
          </w:p>
          <w:p w14:paraId="71003621">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13.工作电源:AC380V±10%，50Hz±1Hz</w:t>
            </w:r>
          </w:p>
          <w:p w14:paraId="1CCB11A5">
            <w:pPr>
              <w:adjustRightInd w:val="0"/>
              <w:spacing w:line="400" w:lineRule="exact"/>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14.最大功率(kW)</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≤1.5</w:t>
            </w:r>
          </w:p>
          <w:p w14:paraId="11FCA150">
            <w:pPr>
              <w:adjustRightInd w:val="0"/>
              <w:spacing w:line="400" w:lineRule="exact"/>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15.重量(kg)</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:190</w:t>
            </w:r>
          </w:p>
          <w:p w14:paraId="7F737A9A">
            <w:pPr>
              <w:adjustRightInd w:val="0"/>
              <w:spacing w:line="400" w:lineRule="exact"/>
              <w:ind w:firstLine="0" w:firstLineChars="0"/>
              <w:rPr>
                <w:rFonts w:hint="eastAsia" w:ascii="宋体" w:hAnsi="宋体" w:cs="宋体"/>
                <w:color w:val="auto"/>
                <w:kern w:val="0"/>
                <w:szCs w:val="21"/>
                <w:highlight w:val="none"/>
              </w:rPr>
            </w:pPr>
            <w:r>
              <w:rPr>
                <w:rFonts w:hint="eastAsia" w:ascii="宋体" w:hAnsi="宋体" w:cs="宋体"/>
                <w:bCs/>
                <w:color w:val="auto"/>
                <w:szCs w:val="21"/>
                <w:highlight w:val="none"/>
              </w:rPr>
              <w:t>★</w:t>
            </w:r>
            <w:r>
              <w:rPr>
                <w:rFonts w:hint="eastAsia" w:ascii="宋体" w:hAnsi="宋体" w:cs="宋体"/>
                <w:color w:val="auto"/>
                <w:sz w:val="21"/>
                <w:szCs w:val="21"/>
                <w:highlight w:val="none"/>
              </w:rPr>
              <w:t>设备经厂家质检部门按国家标准、各项性能参数、安全指标、外观装配均符合出厂要求，检验合格，并出具产品合格证。</w:t>
            </w:r>
          </w:p>
        </w:tc>
        <w:tc>
          <w:tcPr>
            <w:tcW w:w="1050" w:type="dxa"/>
            <w:vAlign w:val="center"/>
          </w:tcPr>
          <w:p w14:paraId="2BC0D175">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台</w:t>
            </w:r>
          </w:p>
        </w:tc>
        <w:tc>
          <w:tcPr>
            <w:tcW w:w="1010" w:type="dxa"/>
            <w:vAlign w:val="center"/>
          </w:tcPr>
          <w:p w14:paraId="3E8B7388">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1</w:t>
            </w:r>
          </w:p>
        </w:tc>
      </w:tr>
      <w:tr w14:paraId="2761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38F27F31">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4</w:t>
            </w:r>
          </w:p>
        </w:tc>
        <w:tc>
          <w:tcPr>
            <w:tcW w:w="1318" w:type="dxa"/>
            <w:vAlign w:val="center"/>
          </w:tcPr>
          <w:p w14:paraId="005E440E">
            <w:pPr>
              <w:widowControl/>
              <w:spacing w:line="400" w:lineRule="exact"/>
              <w:ind w:firstLine="0" w:firstLineChars="0"/>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人工用台秤</w:t>
            </w:r>
          </w:p>
        </w:tc>
        <w:tc>
          <w:tcPr>
            <w:tcW w:w="4425" w:type="dxa"/>
            <w:vAlign w:val="center"/>
          </w:tcPr>
          <w:p w14:paraId="4C8957C0">
            <w:pPr>
              <w:widowControl/>
              <w:spacing w:line="400" w:lineRule="exact"/>
              <w:ind w:firstLine="0" w:firstLineChars="0"/>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人工用台秤 150kg±50g</w:t>
            </w:r>
          </w:p>
        </w:tc>
        <w:tc>
          <w:tcPr>
            <w:tcW w:w="1050" w:type="dxa"/>
            <w:vAlign w:val="center"/>
          </w:tcPr>
          <w:p w14:paraId="1A8F86CE">
            <w:pPr>
              <w:widowControl/>
              <w:spacing w:line="400" w:lineRule="exact"/>
              <w:ind w:firstLine="0" w:firstLineChars="0"/>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1010" w:type="dxa"/>
            <w:vAlign w:val="center"/>
          </w:tcPr>
          <w:p w14:paraId="1D0A37F2">
            <w:pPr>
              <w:widowControl/>
              <w:spacing w:line="400" w:lineRule="exact"/>
              <w:ind w:firstLine="0" w:firstLineChars="0"/>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r>
      <w:tr w14:paraId="2393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375A804A">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5</w:t>
            </w:r>
          </w:p>
        </w:tc>
        <w:tc>
          <w:tcPr>
            <w:tcW w:w="1318" w:type="dxa"/>
            <w:vAlign w:val="center"/>
          </w:tcPr>
          <w:p w14:paraId="337C03D4">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不锈钢样品桶</w:t>
            </w:r>
          </w:p>
        </w:tc>
        <w:tc>
          <w:tcPr>
            <w:tcW w:w="4425" w:type="dxa"/>
            <w:vAlign w:val="center"/>
          </w:tcPr>
          <w:p w14:paraId="5165E75D">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不锈钢材质</w:t>
            </w:r>
          </w:p>
        </w:tc>
        <w:tc>
          <w:tcPr>
            <w:tcW w:w="1050" w:type="dxa"/>
            <w:vAlign w:val="center"/>
          </w:tcPr>
          <w:p w14:paraId="40859086">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1010" w:type="dxa"/>
            <w:vAlign w:val="center"/>
          </w:tcPr>
          <w:p w14:paraId="31D4128C">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r>
      <w:tr w14:paraId="1753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1F6B4E15">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6</w:t>
            </w:r>
          </w:p>
        </w:tc>
        <w:tc>
          <w:tcPr>
            <w:tcW w:w="1318" w:type="dxa"/>
            <w:vAlign w:val="center"/>
          </w:tcPr>
          <w:p w14:paraId="6DC822D5">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铁矿取样铲</w:t>
            </w:r>
          </w:p>
        </w:tc>
        <w:tc>
          <w:tcPr>
            <w:tcW w:w="4425" w:type="dxa"/>
            <w:vAlign w:val="center"/>
          </w:tcPr>
          <w:p w14:paraId="2700B516">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不锈钢材质</w:t>
            </w:r>
          </w:p>
        </w:tc>
        <w:tc>
          <w:tcPr>
            <w:tcW w:w="1050" w:type="dxa"/>
            <w:vAlign w:val="center"/>
          </w:tcPr>
          <w:p w14:paraId="4AFD29FD">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1010" w:type="dxa"/>
            <w:vAlign w:val="center"/>
          </w:tcPr>
          <w:p w14:paraId="052EF415">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r>
      <w:tr w14:paraId="034A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34DCF344">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7</w:t>
            </w:r>
          </w:p>
        </w:tc>
        <w:tc>
          <w:tcPr>
            <w:tcW w:w="1318" w:type="dxa"/>
            <w:vAlign w:val="center"/>
          </w:tcPr>
          <w:p w14:paraId="2F7E963B">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铁楸</w:t>
            </w:r>
          </w:p>
        </w:tc>
        <w:tc>
          <w:tcPr>
            <w:tcW w:w="4425" w:type="dxa"/>
            <w:vAlign w:val="center"/>
          </w:tcPr>
          <w:p w14:paraId="66117CCF">
            <w:pPr>
              <w:widowControl/>
              <w:spacing w:line="400" w:lineRule="exact"/>
              <w:ind w:firstLine="0" w:firstLineChars="0"/>
              <w:textAlignment w:val="center"/>
              <w:rPr>
                <w:rFonts w:ascii="宋体" w:hAnsi="宋体" w:cs="宋体"/>
                <w:color w:val="auto"/>
                <w:kern w:val="0"/>
                <w:szCs w:val="21"/>
                <w:highlight w:val="none"/>
                <w:lang w:bidi="ar"/>
              </w:rPr>
            </w:pPr>
          </w:p>
        </w:tc>
        <w:tc>
          <w:tcPr>
            <w:tcW w:w="1050" w:type="dxa"/>
            <w:vAlign w:val="center"/>
          </w:tcPr>
          <w:p w14:paraId="145103EE">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1010" w:type="dxa"/>
            <w:vAlign w:val="center"/>
          </w:tcPr>
          <w:p w14:paraId="51BDA458">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r>
      <w:tr w14:paraId="5BF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6C770CD8">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8</w:t>
            </w:r>
          </w:p>
        </w:tc>
        <w:tc>
          <w:tcPr>
            <w:tcW w:w="1318" w:type="dxa"/>
            <w:vAlign w:val="center"/>
          </w:tcPr>
          <w:p w14:paraId="0F38C00C">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不锈钢样品托盘</w:t>
            </w:r>
          </w:p>
        </w:tc>
        <w:tc>
          <w:tcPr>
            <w:tcW w:w="4425" w:type="dxa"/>
            <w:vAlign w:val="center"/>
          </w:tcPr>
          <w:p w14:paraId="6B7AB8F5">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不锈钢材质</w:t>
            </w:r>
          </w:p>
        </w:tc>
        <w:tc>
          <w:tcPr>
            <w:tcW w:w="1050" w:type="dxa"/>
            <w:vAlign w:val="center"/>
          </w:tcPr>
          <w:p w14:paraId="6302AEC3">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1010" w:type="dxa"/>
            <w:vAlign w:val="center"/>
          </w:tcPr>
          <w:p w14:paraId="7625E866">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r>
      <w:tr w14:paraId="42A7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vAlign w:val="center"/>
          </w:tcPr>
          <w:p w14:paraId="67D8B017">
            <w:pPr>
              <w:pStyle w:val="142"/>
              <w:adjustRightInd/>
              <w:spacing w:line="400" w:lineRule="exact"/>
              <w:ind w:firstLine="0" w:firstLineChars="0"/>
              <w:jc w:val="center"/>
              <w:outlineLvl w:val="3"/>
              <w:rPr>
                <w:rFonts w:ascii="宋体" w:hAnsi="宋体" w:cs="宋体"/>
                <w:color w:val="auto"/>
                <w:szCs w:val="21"/>
                <w:highlight w:val="none"/>
              </w:rPr>
            </w:pPr>
            <w:r>
              <w:rPr>
                <w:rFonts w:hint="eastAsia" w:ascii="宋体" w:hAnsi="宋体" w:cs="宋体"/>
                <w:color w:val="auto"/>
                <w:szCs w:val="21"/>
                <w:highlight w:val="none"/>
              </w:rPr>
              <w:t>9</w:t>
            </w:r>
          </w:p>
        </w:tc>
        <w:tc>
          <w:tcPr>
            <w:tcW w:w="1318" w:type="dxa"/>
            <w:vAlign w:val="center"/>
          </w:tcPr>
          <w:p w14:paraId="3D09A057">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样品柜</w:t>
            </w:r>
          </w:p>
        </w:tc>
        <w:tc>
          <w:tcPr>
            <w:tcW w:w="4425" w:type="dxa"/>
            <w:vAlign w:val="center"/>
          </w:tcPr>
          <w:p w14:paraId="147FC365">
            <w:pPr>
              <w:widowControl/>
              <w:spacing w:line="40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结合招标人现场制样间的情况进行配置，样式需经招标人认可</w:t>
            </w:r>
          </w:p>
        </w:tc>
        <w:tc>
          <w:tcPr>
            <w:tcW w:w="1050" w:type="dxa"/>
            <w:vAlign w:val="center"/>
          </w:tcPr>
          <w:p w14:paraId="64470948">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个</w:t>
            </w:r>
          </w:p>
        </w:tc>
        <w:tc>
          <w:tcPr>
            <w:tcW w:w="1010" w:type="dxa"/>
            <w:vAlign w:val="center"/>
          </w:tcPr>
          <w:p w14:paraId="047CF466">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r>
    </w:tbl>
    <w:p w14:paraId="055F5077">
      <w:pPr>
        <w:pStyle w:val="13"/>
        <w:spacing w:after="0" w:line="240" w:lineRule="auto"/>
        <w:ind w:firstLine="420" w:firstLineChars="0"/>
        <w:rPr>
          <w:rFonts w:ascii="宋体" w:hAnsi="宋体" w:cs="宋体"/>
          <w:color w:val="auto"/>
          <w:sz w:val="21"/>
          <w:szCs w:val="21"/>
          <w:highlight w:val="none"/>
        </w:rPr>
      </w:pPr>
    </w:p>
    <w:p w14:paraId="10E78B83">
      <w:pPr>
        <w:widowControl/>
        <w:autoSpaceDE w:val="0"/>
        <w:autoSpaceDN w:val="0"/>
        <w:ind w:left="420" w:leftChars="200" w:firstLine="0" w:firstLineChars="0"/>
        <w:textAlignment w:val="bottom"/>
        <w:outlineLvl w:val="2"/>
        <w:rPr>
          <w:rFonts w:ascii="宋体" w:hAnsi="宋体" w:cs="宋体"/>
          <w:b/>
          <w:bCs/>
          <w:color w:val="auto"/>
          <w:szCs w:val="21"/>
          <w:highlight w:val="none"/>
        </w:rPr>
      </w:pPr>
      <w:r>
        <w:rPr>
          <w:rFonts w:hint="eastAsia" w:ascii="宋体" w:hAnsi="宋体" w:cs="宋体"/>
          <w:b/>
          <w:bCs/>
          <w:color w:val="auto"/>
          <w:szCs w:val="21"/>
          <w:highlight w:val="none"/>
        </w:rPr>
        <w:t>4、技术资料及交付进度</w:t>
      </w:r>
    </w:p>
    <w:p w14:paraId="344ECFE2">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 中标人资料的提交及时充分，满足工程进度要求。在</w:t>
      </w:r>
      <w:r>
        <w:rPr>
          <w:rFonts w:hint="eastAsia" w:ascii="宋体" w:hAnsi="宋体" w:cs="宋体"/>
          <w:color w:val="auto"/>
          <w:sz w:val="21"/>
          <w:szCs w:val="21"/>
          <w:highlight w:val="none"/>
          <w:lang w:val="en-US" w:eastAsia="zh-CN"/>
        </w:rPr>
        <w:t>合同</w:t>
      </w:r>
      <w:r>
        <w:rPr>
          <w:rFonts w:hint="eastAsia" w:ascii="宋体" w:hAnsi="宋体" w:cs="宋体"/>
          <w:color w:val="auto"/>
          <w:sz w:val="21"/>
          <w:szCs w:val="21"/>
          <w:highlight w:val="none"/>
        </w:rPr>
        <w:t>签订后</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天内提供满足需要的资料（如下），1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天内提供全部技术资料和供货清单，并经招标人确认。</w:t>
      </w:r>
    </w:p>
    <w:p w14:paraId="25DB86E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4.1.1设备布置图：外型尺寸、布置位置、设备单重及总重量、运输尺寸和重量及其它附件；</w:t>
      </w:r>
    </w:p>
    <w:p w14:paraId="6452C56B">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4.1.2 仪器电负荷资料：功率、相数、电源插座布置图、电源容量、断路器规格、电缆要求、接地要求等；</w:t>
      </w:r>
    </w:p>
    <w:p w14:paraId="6DB78A5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4.1.3 设备运行维护说明书；</w:t>
      </w:r>
    </w:p>
    <w:p w14:paraId="48592909">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 xml:space="preserve"> 试验室通风布置要求。</w:t>
      </w:r>
    </w:p>
    <w:p w14:paraId="7B8D1BD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 xml:space="preserve"> 网络端口布置图</w:t>
      </w:r>
    </w:p>
    <w:p w14:paraId="5B563EF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4.2 中标人需提供的设备相关电子资料包含但不限于设备说明书、设备安装和操作手册、说明书、技术规范、用户操作培训视频、试验报告、出厂合格证等。试验报告、质保书、合格证等应为原件。</w:t>
      </w:r>
    </w:p>
    <w:p w14:paraId="1D1C0E40">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4.3 中标人需提供所供设备及配件的合格证以供归档。</w:t>
      </w:r>
    </w:p>
    <w:p w14:paraId="7F3A8361">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4.4 中标人需提供备品备件清单专用工具清单及使用说明。</w:t>
      </w:r>
    </w:p>
    <w:p w14:paraId="4FFDFAF1">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4.5 </w:t>
      </w:r>
      <w:r>
        <w:rPr>
          <w:rFonts w:hint="eastAsia" w:ascii="宋体" w:hAnsi="宋体" w:cs="宋体"/>
          <w:color w:val="auto"/>
          <w:sz w:val="21"/>
          <w:szCs w:val="21"/>
          <w:highlight w:val="none"/>
          <w:lang w:val="en-US" w:eastAsia="zh-CN"/>
        </w:rPr>
        <w:t>交货期：</w:t>
      </w:r>
      <w:r>
        <w:rPr>
          <w:rFonts w:hint="eastAsia" w:ascii="宋体" w:hAnsi="宋体" w:cs="宋体"/>
          <w:color w:val="auto"/>
          <w:sz w:val="21"/>
          <w:szCs w:val="21"/>
          <w:highlight w:val="none"/>
        </w:rPr>
        <w:t>接招标人书面通知之日起40日历天内完成供货及就位调试，并通过招标人验收。</w:t>
      </w:r>
    </w:p>
    <w:p w14:paraId="40F3C3C2">
      <w:pPr>
        <w:widowControl/>
        <w:autoSpaceDE w:val="0"/>
        <w:autoSpaceDN w:val="0"/>
        <w:ind w:left="420" w:leftChars="200" w:firstLine="0" w:firstLineChars="0"/>
        <w:textAlignment w:val="bottom"/>
        <w:outlineLvl w:val="2"/>
        <w:rPr>
          <w:rFonts w:ascii="宋体" w:hAnsi="宋体" w:cs="宋体"/>
          <w:b/>
          <w:bCs/>
          <w:color w:val="auto"/>
          <w:szCs w:val="21"/>
          <w:highlight w:val="none"/>
        </w:rPr>
      </w:pPr>
      <w:r>
        <w:rPr>
          <w:rFonts w:hint="eastAsia" w:ascii="宋体" w:hAnsi="宋体" w:cs="宋体"/>
          <w:b/>
          <w:bCs/>
          <w:color w:val="auto"/>
          <w:szCs w:val="21"/>
          <w:highlight w:val="none"/>
        </w:rPr>
        <w:t>5、技术服务与培训</w:t>
      </w:r>
    </w:p>
    <w:p w14:paraId="5D185A1E">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5.1 为保证中标人所供设备的正确安装、启动、安全运行和性能指标，以及相互的工作联系，中标人应选派若干合格的现场服务人员到现场服务。</w:t>
      </w:r>
      <w:r>
        <w:rPr>
          <w:rFonts w:hint="eastAsia" w:ascii="宋体" w:hAnsi="宋体" w:cs="宋体"/>
          <w:b/>
          <w:bCs/>
          <w:color w:val="auto"/>
          <w:sz w:val="21"/>
          <w:szCs w:val="21"/>
          <w:highlight w:val="none"/>
        </w:rPr>
        <w:t>在投标阶段投标人须提供现场服务计划。</w:t>
      </w:r>
      <w:r>
        <w:rPr>
          <w:rFonts w:hint="eastAsia" w:ascii="宋体" w:hAnsi="宋体" w:cs="宋体"/>
          <w:color w:val="auto"/>
          <w:sz w:val="21"/>
          <w:szCs w:val="21"/>
          <w:highlight w:val="none"/>
        </w:rPr>
        <w:t>如果此现场服务人数不能满足今后实际工程需要，中标人应免费增加现场服务人数。中标人现场技术服务人员所发生的一切费用包括工资、差旅费、住宿、办公及通讯联络等均包括在合同报价内。</w:t>
      </w:r>
    </w:p>
    <w:p w14:paraId="68B3B08D">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 中标人现场服务人员应满足下列条件：</w:t>
      </w:r>
    </w:p>
    <w:p w14:paraId="77FAC063">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5.2.1 遵守法纪，遵守现场的各项规章和制度。</w:t>
      </w:r>
    </w:p>
    <w:p w14:paraId="7E86109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5.2.2 有较强的责任感和事业心；身体健康，适应现场工作的条件。</w:t>
      </w:r>
    </w:p>
    <w:p w14:paraId="184502C3">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5.2.3 了解合同设备的设计，熟悉其结构，有三年以上相同或相近机组的现场工作经验，能够正确地进行现场指导。</w:t>
      </w:r>
    </w:p>
    <w:p w14:paraId="28DEAA07">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5.2.4 中标人派往现场的设备供应商技术服务人员，应履行完其所有职责并使现场工作按质按量完成后方能返回。</w:t>
      </w:r>
    </w:p>
    <w:p w14:paraId="3F6D5E7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5.2.5 中标人须按下表提供现场服务人员的情况。招标人有权要求更换不称职的中标人现场技术服务人员，中标人应无条件及时更换。</w:t>
      </w:r>
    </w:p>
    <w:p w14:paraId="50373CC7">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 中标人现场服务人员的职责</w:t>
      </w:r>
    </w:p>
    <w:p w14:paraId="5EF7E019">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5.3.1 中标人现场服务人员的任务主要包括催交设备、开箱检验货物、处理设备质量问题、指导安装和调试、参加试运和性能验收试验、招投标双方的日常技术联络等。</w:t>
      </w:r>
    </w:p>
    <w:p w14:paraId="22D09543">
      <w:pPr>
        <w:pStyle w:val="13"/>
        <w:spacing w:after="0"/>
        <w:ind w:firstLine="420"/>
        <w:rPr>
          <w:rFonts w:ascii="宋体" w:hAnsi="宋体" w:cs="宋体"/>
          <w:color w:val="auto"/>
          <w:sz w:val="24"/>
          <w:highlight w:val="none"/>
        </w:rPr>
      </w:pPr>
      <w:r>
        <w:rPr>
          <w:rFonts w:hint="eastAsia" w:ascii="宋体" w:hAnsi="宋体" w:cs="宋体"/>
          <w:color w:val="auto"/>
          <w:sz w:val="21"/>
          <w:szCs w:val="21"/>
          <w:highlight w:val="none"/>
        </w:rPr>
        <w:t>5.3.2 在安装和调试前，中标人现场服务人员应向招标人进行技术交底，讲解和示范将要进行操作的程序和方法。</w:t>
      </w:r>
      <w:r>
        <w:rPr>
          <w:rFonts w:hint="eastAsia" w:ascii="宋体" w:hAnsi="宋体" w:cs="宋体"/>
          <w:b/>
          <w:bCs/>
          <w:color w:val="auto"/>
          <w:sz w:val="21"/>
          <w:szCs w:val="21"/>
          <w:highlight w:val="none"/>
        </w:rPr>
        <w:t>在投标阶段，投标人须提供投标人认为重要的工序，</w:t>
      </w:r>
      <w:r>
        <w:rPr>
          <w:rFonts w:hint="eastAsia" w:ascii="宋体" w:hAnsi="宋体" w:cs="宋体"/>
          <w:color w:val="auto"/>
          <w:sz w:val="21"/>
          <w:szCs w:val="21"/>
          <w:highlight w:val="none"/>
        </w:rPr>
        <w:t>由招标人确认。对这些重要工序，中标人现场服务人员要对施工情况进行确认和签证，否则招标人不能进行下一道工序。经中标人确认的工序如因中标人现场服务人员指导错误而出现质量问题，中标人应负全部责任。</w:t>
      </w:r>
    </w:p>
    <w:p w14:paraId="6E976862">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5.3.3 中标人现场服务人员应有权处理现场出现的一切技术和商务问题。如现场发生质量问题，中标人现场人员要在招标人规定的时间内处理解决。如中标人委托招标人进行处理，中标人现场服务人员要出具委托书并承担相应的经济责任。</w:t>
      </w:r>
    </w:p>
    <w:p w14:paraId="2C6B680E">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5.3.4 中标人对其现场服务人员的一切行为负全部责任。</w:t>
      </w:r>
    </w:p>
    <w:p w14:paraId="11B91CA5">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5.3.5 中标人现场服务人员的正常工作和更换应事先征得招标人同意。</w:t>
      </w:r>
    </w:p>
    <w:p w14:paraId="00A2DF5F">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5.3.6 投标人需针对本项目制定相应的培训计划。（</w:t>
      </w:r>
      <w:r>
        <w:rPr>
          <w:rFonts w:hint="eastAsia" w:ascii="宋体" w:hAnsi="宋体" w:cs="宋体"/>
          <w:b/>
          <w:bCs/>
          <w:color w:val="auto"/>
          <w:sz w:val="21"/>
          <w:szCs w:val="21"/>
          <w:highlight w:val="none"/>
        </w:rPr>
        <w:t>投标人投标时提供</w:t>
      </w:r>
      <w:r>
        <w:rPr>
          <w:rFonts w:hint="eastAsia" w:ascii="宋体" w:hAnsi="宋体" w:cs="宋体"/>
          <w:color w:val="auto"/>
          <w:sz w:val="21"/>
          <w:szCs w:val="21"/>
          <w:highlight w:val="none"/>
        </w:rPr>
        <w:t>）</w:t>
      </w:r>
    </w:p>
    <w:p w14:paraId="07B83F28">
      <w:pPr>
        <w:pStyle w:val="13"/>
        <w:spacing w:after="0"/>
        <w:ind w:firstLine="420"/>
        <w:rPr>
          <w:rFonts w:ascii="宋体" w:hAnsi="宋体" w:cs="宋体"/>
          <w:color w:val="auto"/>
          <w:sz w:val="21"/>
          <w:szCs w:val="21"/>
          <w:highlight w:val="none"/>
        </w:rPr>
      </w:pPr>
      <w:r>
        <w:rPr>
          <w:rFonts w:hint="eastAsia" w:ascii="宋体" w:hAnsi="宋体" w:cs="宋体"/>
          <w:color w:val="auto"/>
          <w:sz w:val="21"/>
          <w:szCs w:val="21"/>
          <w:highlight w:val="none"/>
        </w:rPr>
        <w:t>5.3.7 培训的时间、人数、地点等具体内容由双方商定。如果该人数不能满足今后实际培训需要，中标人应免费追加人数。</w:t>
      </w:r>
    </w:p>
    <w:p w14:paraId="11CDDF72">
      <w:pPr>
        <w:pStyle w:val="13"/>
        <w:spacing w:after="0"/>
        <w:ind w:firstLine="420" w:firstLineChars="0"/>
        <w:rPr>
          <w:rFonts w:hint="eastAsia" w:ascii="宋体" w:hAnsi="宋体" w:eastAsia="宋体" w:cs="宋体"/>
          <w:color w:val="auto"/>
          <w:sz w:val="21"/>
          <w:szCs w:val="21"/>
          <w:highlight w:val="none"/>
        </w:rPr>
      </w:pPr>
    </w:p>
    <w:p w14:paraId="47367256">
      <w:pPr>
        <w:pStyle w:val="13"/>
        <w:spacing w:after="0"/>
        <w:ind w:firstLine="42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注：</w:t>
      </w:r>
      <w:r>
        <w:rPr>
          <w:rFonts w:hint="eastAsia" w:ascii="宋体" w:hAnsi="宋体" w:eastAsia="宋体" w:cs="宋体"/>
          <w:color w:val="auto"/>
          <w:sz w:val="21"/>
          <w:szCs w:val="21"/>
          <w:highlight w:val="none"/>
        </w:rPr>
        <w:t>带“★”条款</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rPr>
        <w:t>实质性要求条款</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不得为“负偏离”，否则作无效标处理</w:t>
      </w:r>
      <w:r>
        <w:rPr>
          <w:rFonts w:hint="eastAsia" w:ascii="宋体" w:hAnsi="宋体" w:eastAsia="宋体" w:cs="宋体"/>
          <w:color w:val="auto"/>
          <w:sz w:val="21"/>
          <w:szCs w:val="21"/>
          <w:highlight w:val="none"/>
        </w:rPr>
        <w:t>。</w:t>
      </w:r>
    </w:p>
    <w:p w14:paraId="3F552876">
      <w:pPr>
        <w:pStyle w:val="2"/>
        <w:rPr>
          <w:rFonts w:ascii="宋体" w:hAnsi="宋体" w:cs="宋体"/>
          <w:color w:val="auto"/>
          <w:highlight w:val="none"/>
        </w:rPr>
      </w:pPr>
      <w:r>
        <w:rPr>
          <w:rFonts w:hint="eastAsia" w:ascii="宋体" w:hAnsi="宋体" w:cs="宋体"/>
          <w:color w:val="auto"/>
          <w:sz w:val="21"/>
          <w:szCs w:val="21"/>
          <w:highlight w:val="none"/>
        </w:rPr>
        <w:br w:type="page"/>
      </w:r>
      <w:bookmarkStart w:id="21" w:name="_Toc22603"/>
      <w:r>
        <w:rPr>
          <w:rFonts w:hint="eastAsia" w:ascii="宋体" w:hAnsi="宋体" w:cs="宋体"/>
          <w:color w:val="auto"/>
          <w:highlight w:val="none"/>
        </w:rPr>
        <w:t>第三章  投标人须知</w:t>
      </w:r>
      <w:bookmarkEnd w:id="13"/>
      <w:bookmarkEnd w:id="21"/>
    </w:p>
    <w:p w14:paraId="39E6316E">
      <w:pPr>
        <w:snapToGrid w:val="0"/>
        <w:ind w:firstLine="0" w:firstLineChars="0"/>
        <w:jc w:val="center"/>
        <w:rPr>
          <w:rFonts w:ascii="宋体" w:hAnsi="宋体" w:cs="宋体"/>
          <w:color w:val="auto"/>
          <w:sz w:val="24"/>
          <w:highlight w:val="none"/>
        </w:rPr>
      </w:pPr>
      <w:r>
        <w:rPr>
          <w:rFonts w:hint="eastAsia" w:ascii="宋体" w:hAnsi="宋体" w:cs="宋体"/>
          <w:color w:val="auto"/>
          <w:sz w:val="24"/>
          <w:highlight w:val="none"/>
        </w:rPr>
        <w:t>前附表</w:t>
      </w:r>
    </w:p>
    <w:tbl>
      <w:tblPr>
        <w:tblStyle w:val="41"/>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5"/>
        <w:gridCol w:w="8371"/>
      </w:tblGrid>
      <w:tr w14:paraId="6B28F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1B02F5A">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8371" w:type="dxa"/>
            <w:tcBorders>
              <w:top w:val="single" w:color="auto" w:sz="4" w:space="0"/>
              <w:left w:val="single" w:color="auto" w:sz="4" w:space="0"/>
              <w:bottom w:val="single" w:color="auto" w:sz="4" w:space="0"/>
              <w:right w:val="single" w:color="auto" w:sz="4" w:space="0"/>
            </w:tcBorders>
            <w:vAlign w:val="center"/>
          </w:tcPr>
          <w:p w14:paraId="21114E75">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内容、要求</w:t>
            </w:r>
          </w:p>
        </w:tc>
      </w:tr>
      <w:tr w14:paraId="0D83D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B469C3F">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1</w:t>
            </w:r>
          </w:p>
        </w:tc>
        <w:tc>
          <w:tcPr>
            <w:tcW w:w="8371" w:type="dxa"/>
            <w:tcBorders>
              <w:top w:val="single" w:color="auto" w:sz="4" w:space="0"/>
              <w:left w:val="single" w:color="auto" w:sz="4" w:space="0"/>
              <w:bottom w:val="single" w:color="auto" w:sz="4" w:space="0"/>
              <w:right w:val="single" w:color="auto" w:sz="4" w:space="0"/>
            </w:tcBorders>
            <w:vAlign w:val="center"/>
          </w:tcPr>
          <w:p w14:paraId="75600A1F">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项目名称：温州港南岳港务有限公司煤炭、铁矿制样设备采购</w:t>
            </w:r>
          </w:p>
        </w:tc>
      </w:tr>
      <w:tr w14:paraId="32F7D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60E42B2">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★2</w:t>
            </w:r>
          </w:p>
        </w:tc>
        <w:tc>
          <w:tcPr>
            <w:tcW w:w="8371" w:type="dxa"/>
            <w:tcBorders>
              <w:top w:val="single" w:color="auto" w:sz="4" w:space="0"/>
              <w:left w:val="single" w:color="auto" w:sz="4" w:space="0"/>
              <w:bottom w:val="single" w:color="auto" w:sz="4" w:space="0"/>
              <w:right w:val="single" w:color="auto" w:sz="4" w:space="0"/>
            </w:tcBorders>
            <w:vAlign w:val="center"/>
          </w:tcPr>
          <w:p w14:paraId="12899109">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投标报价及费用：</w:t>
            </w:r>
          </w:p>
          <w:p w14:paraId="7CA5A29B">
            <w:pPr>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1、不论投标结果如何，投标人均应自行承担所有与投标有关的全部费用。</w:t>
            </w:r>
          </w:p>
          <w:p w14:paraId="79E96383">
            <w:pPr>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本次最高限价</w:t>
            </w:r>
            <w:r>
              <w:rPr>
                <w:rFonts w:hint="eastAsia" w:ascii="宋体" w:hAnsi="宋体" w:cs="宋体"/>
                <w:b/>
                <w:bCs/>
                <w:color w:val="auto"/>
                <w:szCs w:val="21"/>
                <w:highlight w:val="none"/>
                <w:u w:val="single"/>
                <w:lang w:val="en-US" w:eastAsia="zh-CN"/>
              </w:rPr>
              <w:t>73</w:t>
            </w:r>
            <w:r>
              <w:rPr>
                <w:rFonts w:hint="eastAsia" w:ascii="宋体" w:hAnsi="宋体" w:cs="宋体"/>
                <w:b/>
                <w:bCs/>
                <w:color w:val="auto"/>
                <w:szCs w:val="21"/>
                <w:highlight w:val="none"/>
              </w:rPr>
              <w:t>万元</w:t>
            </w:r>
            <w:r>
              <w:rPr>
                <w:rFonts w:hint="eastAsia" w:ascii="宋体" w:hAnsi="宋体" w:cs="宋体"/>
                <w:color w:val="auto"/>
                <w:szCs w:val="21"/>
                <w:highlight w:val="none"/>
              </w:rPr>
              <w:t>，超过最高限价的投标为无效标。</w:t>
            </w:r>
          </w:p>
        </w:tc>
      </w:tr>
      <w:tr w14:paraId="6F8C8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C6A3FE9">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★3</w:t>
            </w:r>
          </w:p>
        </w:tc>
        <w:tc>
          <w:tcPr>
            <w:tcW w:w="8371" w:type="dxa"/>
            <w:tcBorders>
              <w:top w:val="single" w:color="auto" w:sz="4" w:space="0"/>
              <w:left w:val="single" w:color="auto" w:sz="4" w:space="0"/>
              <w:bottom w:val="single" w:color="auto" w:sz="4" w:space="0"/>
              <w:right w:val="single" w:color="auto" w:sz="4" w:space="0"/>
            </w:tcBorders>
            <w:vAlign w:val="center"/>
          </w:tcPr>
          <w:p w14:paraId="28FC2FC0">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投标保证金：人民币大写</w:t>
            </w:r>
            <w:r>
              <w:rPr>
                <w:rFonts w:hint="eastAsia" w:ascii="宋体" w:hAnsi="宋体" w:cs="宋体"/>
                <w:color w:val="auto"/>
                <w:szCs w:val="21"/>
                <w:highlight w:val="none"/>
                <w:u w:val="single"/>
                <w:lang w:val="en-US" w:eastAsia="zh-CN"/>
              </w:rPr>
              <w:t>壹万肆仟陆佰元</w:t>
            </w:r>
            <w:r>
              <w:rPr>
                <w:rFonts w:hint="eastAsia" w:ascii="宋体" w:hAnsi="宋体" w:cs="宋体"/>
                <w:color w:val="auto"/>
                <w:szCs w:val="21"/>
                <w:highlight w:val="none"/>
                <w:u w:val="single"/>
              </w:rPr>
              <w:t>整</w:t>
            </w:r>
            <w:r>
              <w:rPr>
                <w:rFonts w:hint="eastAsia" w:ascii="宋体" w:hAnsi="宋体" w:cs="宋体"/>
                <w:color w:val="auto"/>
                <w:szCs w:val="21"/>
                <w:highlight w:val="none"/>
              </w:rPr>
              <w:t>（小写：¥</w:t>
            </w:r>
            <w:r>
              <w:rPr>
                <w:rFonts w:hint="eastAsia" w:ascii="宋体" w:hAnsi="宋体" w:cs="宋体"/>
                <w:color w:val="auto"/>
                <w:szCs w:val="21"/>
                <w:highlight w:val="none"/>
                <w:lang w:val="en-US" w:eastAsia="zh-CN"/>
              </w:rPr>
              <w:t>14600</w:t>
            </w:r>
            <w:r>
              <w:rPr>
                <w:rFonts w:hint="eastAsia" w:ascii="宋体" w:hAnsi="宋体" w:cs="宋体"/>
                <w:color w:val="auto"/>
                <w:szCs w:val="21"/>
                <w:highlight w:val="none"/>
              </w:rPr>
              <w:t>.00）。</w:t>
            </w:r>
          </w:p>
        </w:tc>
      </w:tr>
      <w:tr w14:paraId="304B8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8996A07">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4</w:t>
            </w:r>
          </w:p>
        </w:tc>
        <w:tc>
          <w:tcPr>
            <w:tcW w:w="8371" w:type="dxa"/>
            <w:tcBorders>
              <w:top w:val="single" w:color="auto" w:sz="4" w:space="0"/>
              <w:left w:val="single" w:color="auto" w:sz="4" w:space="0"/>
              <w:bottom w:val="single" w:color="auto" w:sz="4" w:space="0"/>
              <w:right w:val="single" w:color="auto" w:sz="4" w:space="0"/>
            </w:tcBorders>
            <w:vAlign w:val="center"/>
          </w:tcPr>
          <w:p w14:paraId="143636C9">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答疑与澄清：招标人对已发出的招标文件进行必要的澄清和修改时，将在招标公告规定的投标截止时间10日前，在规定信息发布网站上通知所有招标文件收受人，并要求收受人进行确认澄清和修改已收悉，澄清和修改的内容作为招标文件的组成部分。招标人根据实际情况，延长投标截止时间的，将在投标截止时间前10日内告知所有招标文件收受人，并要求回执确认。</w:t>
            </w:r>
          </w:p>
        </w:tc>
      </w:tr>
      <w:tr w14:paraId="7C744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159862E">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5</w:t>
            </w:r>
          </w:p>
        </w:tc>
        <w:tc>
          <w:tcPr>
            <w:tcW w:w="8371" w:type="dxa"/>
            <w:tcBorders>
              <w:top w:val="single" w:color="auto" w:sz="4" w:space="0"/>
              <w:left w:val="single" w:color="auto" w:sz="4" w:space="0"/>
              <w:bottom w:val="single" w:color="auto" w:sz="4" w:space="0"/>
              <w:right w:val="single" w:color="auto" w:sz="4" w:space="0"/>
            </w:tcBorders>
            <w:vAlign w:val="center"/>
          </w:tcPr>
          <w:p w14:paraId="7598537A">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投标文件组成：资审文件、商务技术标、价格标。</w:t>
            </w:r>
          </w:p>
        </w:tc>
      </w:tr>
      <w:tr w14:paraId="35972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C457A7A">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6</w:t>
            </w:r>
          </w:p>
        </w:tc>
        <w:tc>
          <w:tcPr>
            <w:tcW w:w="8371" w:type="dxa"/>
            <w:tcBorders>
              <w:top w:val="single" w:color="auto" w:sz="4" w:space="0"/>
              <w:left w:val="single" w:color="auto" w:sz="4" w:space="0"/>
              <w:bottom w:val="single" w:color="auto" w:sz="4" w:space="0"/>
              <w:right w:val="single" w:color="auto" w:sz="4" w:space="0"/>
            </w:tcBorders>
            <w:vAlign w:val="center"/>
          </w:tcPr>
          <w:p w14:paraId="3496DB9A">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投标截止时间、地址：详见招标公告。</w:t>
            </w:r>
          </w:p>
        </w:tc>
      </w:tr>
      <w:tr w14:paraId="1E26D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288FF1F">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7</w:t>
            </w:r>
          </w:p>
        </w:tc>
        <w:tc>
          <w:tcPr>
            <w:tcW w:w="8371" w:type="dxa"/>
            <w:tcBorders>
              <w:top w:val="single" w:color="auto" w:sz="4" w:space="0"/>
              <w:left w:val="single" w:color="auto" w:sz="4" w:space="0"/>
              <w:bottom w:val="single" w:color="auto" w:sz="4" w:space="0"/>
              <w:right w:val="single" w:color="auto" w:sz="4" w:space="0"/>
            </w:tcBorders>
            <w:vAlign w:val="center"/>
          </w:tcPr>
          <w:p w14:paraId="625D4E2D">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开标时间、地址：详见招标公告。</w:t>
            </w:r>
          </w:p>
        </w:tc>
      </w:tr>
      <w:tr w14:paraId="04CBD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4014D1D">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8371" w:type="dxa"/>
            <w:tcBorders>
              <w:top w:val="single" w:color="auto" w:sz="4" w:space="0"/>
              <w:left w:val="single" w:color="auto" w:sz="4" w:space="0"/>
              <w:bottom w:val="single" w:color="auto" w:sz="4" w:space="0"/>
              <w:right w:val="single" w:color="auto" w:sz="4" w:space="0"/>
            </w:tcBorders>
            <w:vAlign w:val="center"/>
          </w:tcPr>
          <w:p w14:paraId="0AD6240E">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评标办法及评分标准：本项目采用两步开标法，分两个阶段进行评审，详见第四章。</w:t>
            </w:r>
          </w:p>
        </w:tc>
      </w:tr>
      <w:tr w14:paraId="1E8D2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60B4D5A">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8371" w:type="dxa"/>
            <w:tcBorders>
              <w:top w:val="single" w:color="auto" w:sz="4" w:space="0"/>
              <w:left w:val="single" w:color="auto" w:sz="4" w:space="0"/>
              <w:bottom w:val="single" w:color="auto" w:sz="4" w:space="0"/>
              <w:right w:val="single" w:color="auto" w:sz="4" w:space="0"/>
            </w:tcBorders>
            <w:vAlign w:val="center"/>
          </w:tcPr>
          <w:p w14:paraId="65B02E0F">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评标结果公示：评标结束后，评标结果于浙江省海港集团、宁波舟山港集团电子招标采购平台（http://hgdzzb.nbport.com.cn/）公示不少于3日。</w:t>
            </w:r>
          </w:p>
        </w:tc>
      </w:tr>
      <w:tr w14:paraId="60BF4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FBD3A46">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p>
        </w:tc>
        <w:tc>
          <w:tcPr>
            <w:tcW w:w="8371" w:type="dxa"/>
            <w:tcBorders>
              <w:top w:val="single" w:color="auto" w:sz="4" w:space="0"/>
              <w:left w:val="single" w:color="auto" w:sz="4" w:space="0"/>
              <w:bottom w:val="single" w:color="auto" w:sz="4" w:space="0"/>
              <w:right w:val="single" w:color="auto" w:sz="4" w:space="0"/>
            </w:tcBorders>
            <w:vAlign w:val="center"/>
          </w:tcPr>
          <w:p w14:paraId="3A49E879">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投标保证金退还：除招标文件规定不予退还保证金的情形外，中标人的投标保证金最迟在签署合同后5日内无息退还。</w:t>
            </w:r>
            <w:r>
              <w:rPr>
                <w:rStyle w:val="50"/>
                <w:rFonts w:hint="eastAsia"/>
                <w:color w:val="auto"/>
                <w:kern w:val="0"/>
                <w:highlight w:val="none"/>
              </w:rPr>
              <w:t>未中标人的投标保证金将在中标通知书发出后5日内无息退还。</w:t>
            </w:r>
          </w:p>
        </w:tc>
      </w:tr>
      <w:tr w14:paraId="4FC2C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EE0C330">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p>
        </w:tc>
        <w:tc>
          <w:tcPr>
            <w:tcW w:w="8371" w:type="dxa"/>
            <w:tcBorders>
              <w:top w:val="single" w:color="auto" w:sz="4" w:space="0"/>
              <w:left w:val="single" w:color="auto" w:sz="4" w:space="0"/>
              <w:bottom w:val="single" w:color="auto" w:sz="4" w:space="0"/>
              <w:right w:val="single" w:color="auto" w:sz="4" w:space="0"/>
            </w:tcBorders>
            <w:vAlign w:val="center"/>
          </w:tcPr>
          <w:p w14:paraId="07164B91">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签订合同时间：中标通知书发出后30日内。</w:t>
            </w:r>
          </w:p>
        </w:tc>
      </w:tr>
      <w:tr w14:paraId="537A0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007ED24">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8371" w:type="dxa"/>
            <w:tcBorders>
              <w:top w:val="single" w:color="auto" w:sz="4" w:space="0"/>
              <w:left w:val="single" w:color="auto" w:sz="4" w:space="0"/>
              <w:bottom w:val="single" w:color="auto" w:sz="4" w:space="0"/>
              <w:right w:val="single" w:color="auto" w:sz="4" w:space="0"/>
            </w:tcBorders>
            <w:vAlign w:val="center"/>
          </w:tcPr>
          <w:p w14:paraId="6BBA455A">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履约保证金：中标人在合同签订之前须向招标人提交合同总价5%的履约保证金，并且要保证履约保证金在合同履行期间的有效性；履约保证金在验收合格后，并收到中标人开具的收据后，招标人在30个日历天内无息向中标人退还。</w:t>
            </w:r>
          </w:p>
        </w:tc>
      </w:tr>
      <w:tr w14:paraId="22EC3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9F085C2">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c>
          <w:tcPr>
            <w:tcW w:w="8371" w:type="dxa"/>
            <w:tcBorders>
              <w:top w:val="single" w:color="auto" w:sz="4" w:space="0"/>
              <w:left w:val="single" w:color="auto" w:sz="4" w:space="0"/>
              <w:bottom w:val="single" w:color="auto" w:sz="4" w:space="0"/>
              <w:right w:val="single" w:color="auto" w:sz="4" w:space="0"/>
            </w:tcBorders>
            <w:vAlign w:val="center"/>
          </w:tcPr>
          <w:p w14:paraId="000B885B">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采购资金来源：自筹。</w:t>
            </w:r>
          </w:p>
        </w:tc>
      </w:tr>
      <w:tr w14:paraId="5D2BB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0EB65DE">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8371" w:type="dxa"/>
            <w:tcBorders>
              <w:top w:val="single" w:color="auto" w:sz="4" w:space="0"/>
              <w:left w:val="single" w:color="auto" w:sz="4" w:space="0"/>
              <w:bottom w:val="single" w:color="auto" w:sz="4" w:space="0"/>
              <w:right w:val="single" w:color="auto" w:sz="4" w:space="0"/>
            </w:tcBorders>
            <w:vAlign w:val="center"/>
          </w:tcPr>
          <w:p w14:paraId="28B9F26A">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投标文件有效期：自投标截止日起90天。</w:t>
            </w:r>
          </w:p>
        </w:tc>
      </w:tr>
      <w:tr w14:paraId="29526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4483283">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8371" w:type="dxa"/>
            <w:tcBorders>
              <w:top w:val="single" w:color="auto" w:sz="4" w:space="0"/>
              <w:left w:val="single" w:color="auto" w:sz="4" w:space="0"/>
              <w:bottom w:val="single" w:color="auto" w:sz="4" w:space="0"/>
              <w:right w:val="single" w:color="auto" w:sz="4" w:space="0"/>
            </w:tcBorders>
            <w:vAlign w:val="center"/>
          </w:tcPr>
          <w:p w14:paraId="19B20BAD">
            <w:pPr>
              <w:adjustRightInd w:val="0"/>
              <w:snapToGrid w:val="0"/>
              <w:spacing w:before="156" w:beforeLines="50"/>
              <w:ind w:firstLine="0" w:firstLineChars="0"/>
              <w:jc w:val="left"/>
              <w:rPr>
                <w:rFonts w:ascii="宋体" w:hAnsi="宋体" w:cs="宋体"/>
                <w:color w:val="auto"/>
                <w:szCs w:val="21"/>
                <w:highlight w:val="none"/>
              </w:rPr>
            </w:pPr>
            <w:r>
              <w:rPr>
                <w:rFonts w:hint="eastAsia" w:ascii="宋体" w:hAnsi="宋体" w:cs="宋体"/>
                <w:color w:val="auto"/>
                <w:szCs w:val="21"/>
                <w:highlight w:val="none"/>
              </w:rPr>
              <w:t>1、本项目采用电子招标形式，需对上线交易项目收取交易服务费，交易服务费由中标单位承担。</w:t>
            </w:r>
          </w:p>
          <w:p w14:paraId="460A2E41">
            <w:pPr>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2、根据集团相关要求，按新收费标准执行。具体收费标准如下：</w:t>
            </w:r>
          </w:p>
          <w:p w14:paraId="12C1BADD">
            <w:pPr>
              <w:adjustRightInd w:val="0"/>
              <w:snapToGrid w:val="0"/>
              <w:ind w:firstLine="0" w:firstLineChars="0"/>
              <w:jc w:val="center"/>
              <w:rPr>
                <w:rFonts w:ascii="宋体" w:hAnsi="宋体" w:cs="宋体"/>
                <w:b/>
                <w:bCs/>
                <w:color w:val="auto"/>
                <w:szCs w:val="21"/>
                <w:highlight w:val="none"/>
              </w:rPr>
            </w:pPr>
            <w:r>
              <w:rPr>
                <w:rFonts w:hint="eastAsia" w:ascii="宋体" w:hAnsi="宋体" w:cs="宋体"/>
                <w:b/>
                <w:bCs/>
                <w:color w:val="auto"/>
                <w:szCs w:val="21"/>
                <w:highlight w:val="none"/>
              </w:rPr>
              <w:t>集团电子招标采购平台交易服务费收取标准</w:t>
            </w:r>
          </w:p>
          <w:tbl>
            <w:tblPr>
              <w:tblStyle w:val="41"/>
              <w:tblW w:w="8239" w:type="dxa"/>
              <w:jc w:val="center"/>
              <w:tblLayout w:type="fixed"/>
              <w:tblCellMar>
                <w:top w:w="0" w:type="dxa"/>
                <w:left w:w="108" w:type="dxa"/>
                <w:bottom w:w="0" w:type="dxa"/>
                <w:right w:w="108" w:type="dxa"/>
              </w:tblCellMar>
            </w:tblPr>
            <w:tblGrid>
              <w:gridCol w:w="6036"/>
              <w:gridCol w:w="2203"/>
            </w:tblGrid>
            <w:tr w14:paraId="3047C5E5">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4D1B5775">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中标价</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1E99B95">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收费标准（万元）</w:t>
                  </w:r>
                </w:p>
              </w:tc>
            </w:tr>
            <w:tr w14:paraId="06BDD588">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36DBDB0E">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200万（含）以下</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632BB54">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0.1</w:t>
                  </w:r>
                </w:p>
              </w:tc>
            </w:tr>
            <w:tr w14:paraId="12CD361C">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3023BFD7">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200万-500万（含）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4A6BB956">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0.25</w:t>
                  </w:r>
                </w:p>
              </w:tc>
            </w:tr>
            <w:tr w14:paraId="594150DD">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0273039B">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500万-1000万（含）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593CBEC0">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0.75</w:t>
                  </w:r>
                </w:p>
              </w:tc>
            </w:tr>
            <w:tr w14:paraId="5829B456">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B9EF557">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1000万-2000万（含）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96CAA22">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1.25</w:t>
                  </w:r>
                </w:p>
              </w:tc>
            </w:tr>
            <w:tr w14:paraId="120B03CF">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DA9A743">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2000万-5000万（含）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364B004">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1.75</w:t>
                  </w:r>
                </w:p>
              </w:tc>
            </w:tr>
            <w:tr w14:paraId="4616BDEB">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6B11E54">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5000万-1亿（含）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D7D6186">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2.5</w:t>
                  </w:r>
                </w:p>
              </w:tc>
            </w:tr>
            <w:tr w14:paraId="220FE663">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6F9ECF8A">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1亿-5亿（含）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4FEB773F">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3.5</w:t>
                  </w:r>
                </w:p>
              </w:tc>
            </w:tr>
            <w:tr w14:paraId="6B1C1D73">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F745CF8">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5亿—10亿（含）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1151AC38">
                  <w:pPr>
                    <w:widowControl/>
                    <w:ind w:firstLine="0" w:firstLineChars="0"/>
                    <w:jc w:val="left"/>
                    <w:rPr>
                      <w:rFonts w:ascii="宋体" w:hAnsi="宋体" w:cs="宋体"/>
                      <w:color w:val="auto"/>
                      <w:szCs w:val="21"/>
                      <w:highlight w:val="none"/>
                    </w:rPr>
                  </w:pPr>
                  <w:r>
                    <w:rPr>
                      <w:rFonts w:hint="eastAsia" w:ascii="宋体" w:hAnsi="宋体" w:cs="宋体"/>
                      <w:color w:val="auto"/>
                      <w:kern w:val="0"/>
                      <w:szCs w:val="21"/>
                      <w:highlight w:val="none"/>
                    </w:rPr>
                    <w:t>5</w:t>
                  </w:r>
                </w:p>
              </w:tc>
            </w:tr>
            <w:tr w14:paraId="48B0771D">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8B2A0C2">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10亿以上</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2DC4CD32">
                  <w:pPr>
                    <w:widowControl/>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6</w:t>
                  </w:r>
                </w:p>
              </w:tc>
            </w:tr>
            <w:tr w14:paraId="1ACCE31B">
              <w:tblPrEx>
                <w:tblCellMar>
                  <w:top w:w="0" w:type="dxa"/>
                  <w:left w:w="108" w:type="dxa"/>
                  <w:bottom w:w="0" w:type="dxa"/>
                  <w:right w:w="108" w:type="dxa"/>
                </w:tblCellMar>
              </w:tblPrEx>
              <w:trPr>
                <w:trHeight w:val="3252" w:hRule="atLeast"/>
                <w:jc w:val="center"/>
              </w:trPr>
              <w:tc>
                <w:tcPr>
                  <w:tcW w:w="8239" w:type="dxa"/>
                  <w:gridSpan w:val="2"/>
                  <w:tcBorders>
                    <w:top w:val="single" w:color="000000" w:sz="4" w:space="0"/>
                    <w:left w:val="single" w:color="000000" w:sz="4" w:space="0"/>
                    <w:bottom w:val="single" w:color="000000" w:sz="4" w:space="0"/>
                    <w:right w:val="single" w:color="000000" w:sz="4" w:space="0"/>
                  </w:tcBorders>
                  <w:noWrap/>
                  <w:vAlign w:val="center"/>
                </w:tcPr>
                <w:p w14:paraId="0673D674">
                  <w:pPr>
                    <w:widowControl/>
                    <w:spacing w:line="400" w:lineRule="exact"/>
                    <w:ind w:firstLine="0" w:firstLineChars="0"/>
                    <w:jc w:val="left"/>
                    <w:rPr>
                      <w:rFonts w:ascii="宋体" w:hAnsi="宋体" w:cs="宋体"/>
                      <w:color w:val="auto"/>
                      <w:kern w:val="58"/>
                      <w:szCs w:val="21"/>
                      <w:highlight w:val="none"/>
                    </w:rPr>
                  </w:pPr>
                  <w:r>
                    <w:rPr>
                      <w:rFonts w:hint="eastAsia" w:ascii="宋体" w:hAnsi="宋体" w:cs="宋体"/>
                      <w:color w:val="auto"/>
                      <w:kern w:val="58"/>
                      <w:szCs w:val="21"/>
                      <w:highlight w:val="none"/>
                    </w:rPr>
                    <w:t>注：</w:t>
                  </w:r>
                </w:p>
                <w:p w14:paraId="0F6320F8">
                  <w:pPr>
                    <w:widowControl/>
                    <w:spacing w:line="400" w:lineRule="exact"/>
                    <w:ind w:firstLine="0" w:firstLineChars="0"/>
                    <w:jc w:val="left"/>
                    <w:rPr>
                      <w:rFonts w:ascii="宋体" w:hAnsi="宋体" w:cs="宋体"/>
                      <w:color w:val="auto"/>
                      <w:kern w:val="58"/>
                      <w:szCs w:val="21"/>
                      <w:highlight w:val="none"/>
                    </w:rPr>
                  </w:pPr>
                  <w:r>
                    <w:rPr>
                      <w:rFonts w:hint="eastAsia" w:ascii="宋体" w:hAnsi="宋体" w:cs="宋体"/>
                      <w:color w:val="auto"/>
                      <w:kern w:val="58"/>
                      <w:szCs w:val="21"/>
                      <w:highlight w:val="none"/>
                    </w:rPr>
                    <w:t>1.交易服务费由中标单位承担。</w:t>
                  </w:r>
                </w:p>
                <w:p w14:paraId="3D19377B">
                  <w:pPr>
                    <w:widowControl/>
                    <w:spacing w:line="400" w:lineRule="exact"/>
                    <w:ind w:firstLine="0" w:firstLineChars="0"/>
                    <w:jc w:val="left"/>
                    <w:rPr>
                      <w:rFonts w:ascii="宋体" w:hAnsi="宋体" w:cs="宋体"/>
                      <w:color w:val="auto"/>
                      <w:kern w:val="58"/>
                      <w:szCs w:val="21"/>
                      <w:highlight w:val="none"/>
                    </w:rPr>
                  </w:pPr>
                  <w:r>
                    <w:rPr>
                      <w:rFonts w:hint="eastAsia" w:ascii="宋体" w:hAnsi="宋体" w:cs="宋体"/>
                      <w:color w:val="auto"/>
                      <w:kern w:val="58"/>
                      <w:szCs w:val="21"/>
                      <w:highlight w:val="none"/>
                    </w:rPr>
                    <w:t>2.对于招标服务期在1年以上且按每年报价的项目，交易服务费按1年的中标金额计取。</w:t>
                  </w:r>
                </w:p>
                <w:p w14:paraId="47F1FF4A">
                  <w:pPr>
                    <w:widowControl/>
                    <w:spacing w:line="400" w:lineRule="exact"/>
                    <w:ind w:firstLine="0" w:firstLineChars="0"/>
                    <w:jc w:val="left"/>
                    <w:rPr>
                      <w:rFonts w:ascii="宋体" w:hAnsi="宋体" w:cs="宋体"/>
                      <w:color w:val="auto"/>
                      <w:kern w:val="58"/>
                      <w:szCs w:val="21"/>
                      <w:highlight w:val="none"/>
                    </w:rPr>
                  </w:pPr>
                  <w:r>
                    <w:rPr>
                      <w:rFonts w:hint="eastAsia" w:ascii="宋体" w:hAnsi="宋体" w:cs="宋体"/>
                      <w:color w:val="auto"/>
                      <w:kern w:val="58"/>
                      <w:szCs w:val="21"/>
                      <w:highlight w:val="none"/>
                    </w:rPr>
                    <w:t>3.对于无具体交易（中标）金额的限额以上招标采购项目参照项目计划金额计取，对于无具体交易（中标）金额的限额以下招标采购项目按每个项目1000元计取，多家中标人费用平摊。</w:t>
                  </w:r>
                </w:p>
                <w:p w14:paraId="3AB14CF0">
                  <w:pPr>
                    <w:widowControl/>
                    <w:spacing w:line="400" w:lineRule="exact"/>
                    <w:ind w:firstLine="0" w:firstLineChars="0"/>
                    <w:jc w:val="left"/>
                    <w:rPr>
                      <w:rFonts w:ascii="宋体" w:hAnsi="宋体" w:cs="宋体"/>
                      <w:color w:val="auto"/>
                      <w:szCs w:val="21"/>
                      <w:highlight w:val="none"/>
                    </w:rPr>
                  </w:pPr>
                  <w:r>
                    <w:rPr>
                      <w:rFonts w:hint="eastAsia" w:ascii="宋体" w:hAnsi="宋体" w:cs="宋体"/>
                      <w:color w:val="auto"/>
                      <w:kern w:val="58"/>
                      <w:szCs w:val="21"/>
                      <w:highlight w:val="none"/>
                    </w:rPr>
                    <w:t>4.限额以下非招标项目按实际成交价0.2%收取交易服务费，最高不超过500元，5万元以下项目免收交易服务费。</w:t>
                  </w:r>
                </w:p>
              </w:tc>
            </w:tr>
          </w:tbl>
          <w:p w14:paraId="642A8C3E">
            <w:pPr>
              <w:adjustRightInd w:val="0"/>
              <w:snapToGrid w:val="0"/>
              <w:spacing w:before="156" w:beforeLines="50"/>
              <w:ind w:firstLine="0" w:firstLineChars="0"/>
              <w:jc w:val="left"/>
              <w:rPr>
                <w:rFonts w:ascii="宋体" w:hAnsi="宋体" w:cs="宋体"/>
                <w:color w:val="auto"/>
                <w:szCs w:val="21"/>
                <w:highlight w:val="none"/>
              </w:rPr>
            </w:pPr>
          </w:p>
        </w:tc>
      </w:tr>
      <w:tr w14:paraId="2892D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83834B6">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8371" w:type="dxa"/>
            <w:tcBorders>
              <w:top w:val="single" w:color="auto" w:sz="4" w:space="0"/>
              <w:left w:val="single" w:color="auto" w:sz="4" w:space="0"/>
              <w:bottom w:val="single" w:color="auto" w:sz="4" w:space="0"/>
              <w:right w:val="single" w:color="auto" w:sz="4" w:space="0"/>
            </w:tcBorders>
            <w:vAlign w:val="center"/>
          </w:tcPr>
          <w:p w14:paraId="16C1CCC0">
            <w:pPr>
              <w:adjustRightInd w:val="0"/>
              <w:snapToGrid w:val="0"/>
              <w:spacing w:before="156" w:beforeLines="50"/>
              <w:ind w:firstLine="0" w:firstLineChars="0"/>
              <w:jc w:val="left"/>
              <w:rPr>
                <w:rFonts w:ascii="宋体" w:hAnsi="宋体" w:cs="宋体"/>
                <w:color w:val="auto"/>
                <w:kern w:val="58"/>
                <w:szCs w:val="21"/>
                <w:highlight w:val="none"/>
              </w:rPr>
            </w:pPr>
            <w:r>
              <w:rPr>
                <w:rFonts w:hint="eastAsia" w:ascii="宋体" w:hAnsi="宋体" w:cs="宋体"/>
                <w:color w:val="auto"/>
                <w:kern w:val="58"/>
                <w:szCs w:val="21"/>
                <w:highlight w:val="none"/>
              </w:rPr>
              <w:t>招标代理服务费：本次招标，招标代理服务费按人民币贰仟元整（¥2000）包干计取。</w:t>
            </w:r>
            <w:r>
              <w:rPr>
                <w:rFonts w:hint="eastAsia"/>
                <w:color w:val="auto"/>
                <w:highlight w:val="none"/>
              </w:rPr>
              <w:t>由中标人在领取中标（成交）通知书之前将代理服务费用支付给招标代理机构。</w:t>
            </w:r>
          </w:p>
        </w:tc>
      </w:tr>
      <w:tr w14:paraId="1A681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99E6E39">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8371" w:type="dxa"/>
            <w:tcBorders>
              <w:top w:val="single" w:color="auto" w:sz="4" w:space="0"/>
              <w:left w:val="single" w:color="auto" w:sz="4" w:space="0"/>
              <w:bottom w:val="single" w:color="auto" w:sz="4" w:space="0"/>
              <w:right w:val="single" w:color="auto" w:sz="4" w:space="0"/>
            </w:tcBorders>
            <w:vAlign w:val="center"/>
          </w:tcPr>
          <w:p w14:paraId="125388C8">
            <w:pPr>
              <w:adjustRightInd w:val="0"/>
              <w:snapToGrid w:val="0"/>
              <w:spacing w:before="156" w:beforeLines="50"/>
              <w:ind w:firstLine="0" w:firstLineChars="0"/>
              <w:jc w:val="left"/>
              <w:rPr>
                <w:rFonts w:ascii="宋体" w:hAnsi="宋体" w:cs="宋体"/>
                <w:color w:val="auto"/>
                <w:kern w:val="58"/>
                <w:szCs w:val="21"/>
                <w:highlight w:val="none"/>
              </w:rPr>
            </w:pPr>
            <w:r>
              <w:rPr>
                <w:rFonts w:hint="eastAsia" w:ascii="宋体" w:hAnsi="宋体" w:cs="宋体"/>
                <w:color w:val="auto"/>
                <w:szCs w:val="21"/>
                <w:highlight w:val="none"/>
              </w:rPr>
              <w:t>解释：本招标文件的解释权属于招标人。</w:t>
            </w:r>
          </w:p>
        </w:tc>
      </w:tr>
    </w:tbl>
    <w:p w14:paraId="2817DF45">
      <w:pPr>
        <w:pStyle w:val="3"/>
        <w:adjustRightInd w:val="0"/>
        <w:spacing w:before="0" w:beforeLines="0"/>
        <w:rPr>
          <w:rFonts w:ascii="宋体" w:hAnsi="宋体" w:cs="宋体"/>
          <w:b w:val="0"/>
          <w:color w:val="auto"/>
          <w:sz w:val="21"/>
          <w:highlight w:val="none"/>
        </w:rPr>
      </w:pPr>
      <w:r>
        <w:rPr>
          <w:rFonts w:hint="eastAsia" w:ascii="宋体" w:hAnsi="宋体" w:cs="宋体"/>
          <w:color w:val="auto"/>
          <w:highlight w:val="none"/>
        </w:rPr>
        <w:br w:type="page"/>
      </w:r>
      <w:r>
        <w:rPr>
          <w:rFonts w:hint="eastAsia" w:ascii="宋体" w:hAnsi="宋体" w:cs="宋体"/>
          <w:bCs/>
          <w:color w:val="auto"/>
          <w:sz w:val="21"/>
          <w:highlight w:val="none"/>
        </w:rPr>
        <w:t>一、总  则</w:t>
      </w:r>
    </w:p>
    <w:p w14:paraId="7BCF3CD8">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（一）适用范围</w:t>
      </w:r>
    </w:p>
    <w:p w14:paraId="13041B2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本招标文件适用于</w:t>
      </w:r>
      <w:r>
        <w:rPr>
          <w:rFonts w:hint="eastAsia" w:ascii="宋体" w:hAnsi="宋体" w:cs="宋体"/>
          <w:color w:val="auto"/>
          <w:szCs w:val="21"/>
          <w:highlight w:val="none"/>
          <w:u w:val="single"/>
        </w:rPr>
        <w:t>温州港南岳港务有限公司煤炭、铁矿制样设备采购项目</w:t>
      </w:r>
      <w:r>
        <w:rPr>
          <w:rFonts w:hint="eastAsia" w:ascii="宋体" w:hAnsi="宋体" w:cs="宋体"/>
          <w:color w:val="auto"/>
          <w:szCs w:val="21"/>
          <w:highlight w:val="none"/>
        </w:rPr>
        <w:t>的招标、投标、评标、定标、验收、合同履约、付款等行为（法律、法规另有规定的，从其规定）。</w:t>
      </w:r>
    </w:p>
    <w:p w14:paraId="44629CA2">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（二）定义</w:t>
      </w:r>
    </w:p>
    <w:p w14:paraId="13547ED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“招标人”系指组织本次招标的单位。</w:t>
      </w:r>
    </w:p>
    <w:p w14:paraId="4F893E6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“投标人”系指向招标人提交投标文件的单位。</w:t>
      </w:r>
    </w:p>
    <w:p w14:paraId="1CD47E1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“产品”系指供方按招标文件规定，须向招标人提供的一切货物、设备、保险、税金、基础数据、工具、手册及其他有关技术资料和材料。</w:t>
      </w:r>
    </w:p>
    <w:p w14:paraId="24DCF77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 “服务”系指招标文件规定投标人须承担的安装、调试、技术协助、培训、技术指导以及其他类似的义务。</w:t>
      </w:r>
    </w:p>
    <w:p w14:paraId="1D7B8A9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5. “项目”系指投标人按招标文件规定向招标人提供的产品及服务。</w:t>
      </w:r>
    </w:p>
    <w:p w14:paraId="11AFBE0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6. “书面形式”包括信函、传真、电子邮件等。</w:t>
      </w:r>
    </w:p>
    <w:p w14:paraId="1898FBF8">
      <w:pPr>
        <w:adjustRightInd w:val="0"/>
        <w:snapToGrid w:val="0"/>
        <w:ind w:firstLine="422"/>
        <w:rPr>
          <w:rFonts w:ascii="宋体" w:hAnsi="宋体" w:cs="宋体"/>
          <w:b/>
          <w:bCs/>
          <w:color w:val="auto"/>
          <w:szCs w:val="21"/>
          <w:highlight w:val="none"/>
        </w:rPr>
      </w:pPr>
      <w:r>
        <w:rPr>
          <w:rFonts w:hint="eastAsia" w:ascii="宋体" w:hAnsi="宋体" w:cs="宋体"/>
          <w:b/>
          <w:bCs/>
          <w:color w:val="auto"/>
          <w:szCs w:val="21"/>
          <w:highlight w:val="none"/>
        </w:rPr>
        <w:t>7. 带“★”条款系指实质性要求条款。</w:t>
      </w:r>
    </w:p>
    <w:p w14:paraId="42E9FA96">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（三）招标方式</w:t>
      </w:r>
    </w:p>
    <w:p w14:paraId="2A20515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本次招标采用公开招标方式进行。</w:t>
      </w:r>
    </w:p>
    <w:p w14:paraId="1D843F3B">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（四）投标委托</w:t>
      </w:r>
    </w:p>
    <w:p w14:paraId="4945C6FA">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投标人代表须提供有效身份证件。如投标人代表不是法定代表人，须有法定代表人出具的授权委托书。</w:t>
      </w:r>
    </w:p>
    <w:p w14:paraId="36E428DB">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（五）投标费用</w:t>
      </w:r>
    </w:p>
    <w:p w14:paraId="2E677C6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不论投标结果如何，投标人均应自行承担所有与投标有关的全部费用（招标文件有相关规定除外）。</w:t>
      </w:r>
    </w:p>
    <w:p w14:paraId="73FDEDC9">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（六）联合体投标</w:t>
      </w:r>
    </w:p>
    <w:p w14:paraId="2DB1D6E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本项目不接受联合体投标。</w:t>
      </w:r>
    </w:p>
    <w:p w14:paraId="73148A33">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（七）转包</w:t>
      </w:r>
    </w:p>
    <w:p w14:paraId="5AACCEA5">
      <w:pPr>
        <w:adjustRightInd w:val="0"/>
        <w:snapToGrid w:val="0"/>
        <w:ind w:firstLine="420"/>
        <w:rPr>
          <w:rFonts w:ascii="宋体" w:hAnsi="宋体" w:cs="宋体"/>
          <w:color w:val="auto"/>
          <w:kern w:val="0"/>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本项目不允许转包和违法分包。</w:t>
      </w:r>
    </w:p>
    <w:p w14:paraId="12753591">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（八）特别说明</w:t>
      </w:r>
    </w:p>
    <w:p w14:paraId="39B37ED4">
      <w:pPr>
        <w:adjustRightInd w:val="0"/>
        <w:snapToGrid w:val="0"/>
        <w:ind w:firstLine="422"/>
        <w:rPr>
          <w:rFonts w:ascii="宋体" w:hAnsi="宋体" w:cs="宋体"/>
          <w:b/>
          <w:bCs/>
          <w:color w:val="auto"/>
          <w:szCs w:val="21"/>
          <w:highlight w:val="none"/>
        </w:rPr>
      </w:pPr>
      <w:r>
        <w:rPr>
          <w:rFonts w:hint="eastAsia" w:ascii="宋体" w:hAnsi="宋体" w:cs="宋体"/>
          <w:b/>
          <w:bCs/>
          <w:color w:val="auto"/>
          <w:szCs w:val="21"/>
          <w:highlight w:val="none"/>
        </w:rPr>
        <w:t>★1. 本项目不属于依法必须招标项目，也不属于政府采购项目。</w:t>
      </w:r>
    </w:p>
    <w:p w14:paraId="0B701F9D">
      <w:pPr>
        <w:adjustRightInd w:val="0"/>
        <w:snapToGrid w:val="0"/>
        <w:ind w:firstLine="422"/>
        <w:rPr>
          <w:rFonts w:ascii="宋体" w:hAnsi="宋体" w:cs="宋体"/>
          <w:b/>
          <w:bCs/>
          <w:color w:val="auto"/>
          <w:szCs w:val="21"/>
          <w:highlight w:val="none"/>
        </w:rPr>
      </w:pPr>
      <w:r>
        <w:rPr>
          <w:rFonts w:hint="eastAsia" w:ascii="宋体" w:hAnsi="宋体" w:cs="宋体"/>
          <w:b/>
          <w:bCs/>
          <w:color w:val="auto"/>
          <w:szCs w:val="21"/>
          <w:highlight w:val="none"/>
        </w:rPr>
        <w:t>★2. 投标人应仔细阅读招标文件的所有内容，按照招标文件的要求提交投标文件，并对所提供的全部资料的真实性承担法律责任。</w:t>
      </w:r>
    </w:p>
    <w:p w14:paraId="64B12606">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（九）异议和投诉</w:t>
      </w:r>
    </w:p>
    <w:p w14:paraId="3496C98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投标人对招标文件有异议的，应当在投标截止时间10日前提出；投标人对评标结果有异议的，应当在评标结果公示期间提出，逾期不予受理。</w:t>
      </w:r>
    </w:p>
    <w:p w14:paraId="0B87969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异议应当在浙江海港电子招标采购平台上提出，投诉应当以书面形式提出。异议书、投诉书均应明确阐述招标文件、招标过程或中标结果中使自己合法权益受到损害的实质性内容，提供相关事实、依据和证据及其来源或线索，便于有关单位调查、答复和处理。</w:t>
      </w:r>
    </w:p>
    <w:p w14:paraId="6114691E">
      <w:pPr>
        <w:pStyle w:val="3"/>
        <w:adjustRightInd w:val="0"/>
        <w:spacing w:before="0" w:beforeLines="0"/>
        <w:rPr>
          <w:rFonts w:ascii="宋体" w:hAnsi="宋体" w:cs="宋体"/>
          <w:bCs/>
          <w:color w:val="auto"/>
          <w:sz w:val="21"/>
          <w:highlight w:val="none"/>
        </w:rPr>
      </w:pPr>
      <w:bookmarkStart w:id="22" w:name="_Toc430"/>
      <w:r>
        <w:rPr>
          <w:rFonts w:hint="eastAsia" w:ascii="宋体" w:hAnsi="宋体" w:cs="宋体"/>
          <w:bCs/>
          <w:color w:val="auto"/>
          <w:sz w:val="21"/>
          <w:highlight w:val="none"/>
        </w:rPr>
        <w:t>二、招标文件</w:t>
      </w:r>
      <w:bookmarkEnd w:id="22"/>
    </w:p>
    <w:p w14:paraId="504A1556">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（一）招标文件的构成。本招标文件由以下部分组成：</w:t>
      </w:r>
    </w:p>
    <w:p w14:paraId="1227C66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招标公告</w:t>
      </w:r>
    </w:p>
    <w:p w14:paraId="2DDEAA5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招标需求</w:t>
      </w:r>
    </w:p>
    <w:p w14:paraId="1E06794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投标人须知</w:t>
      </w:r>
    </w:p>
    <w:p w14:paraId="1F57E5E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 评标办法及评分标准</w:t>
      </w:r>
    </w:p>
    <w:p w14:paraId="1CFCD17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5. 合同条款</w:t>
      </w:r>
    </w:p>
    <w:p w14:paraId="3BEDD46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6. 投标文件格式</w:t>
      </w:r>
    </w:p>
    <w:p w14:paraId="152A0B8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7. 本项目招标文件的澄清、答复、修改、补充的内容</w:t>
      </w:r>
    </w:p>
    <w:p w14:paraId="4B23ED28">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（二）投标人的风险</w:t>
      </w:r>
    </w:p>
    <w:p w14:paraId="54F9C5F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投标人没有按照招标文件要求提供全部资料，或者投标人没有对招标文件在各方面作出实质性响应是投标人的风险，并可能导致其投标被拒绝。</w:t>
      </w:r>
    </w:p>
    <w:p w14:paraId="56F3054D">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（三）招标文件的澄清与修改</w:t>
      </w:r>
    </w:p>
    <w:p w14:paraId="1AE165E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招标人对已发出的招标文件进行必要的澄清和修改时，将在招标公告规定的投标截止时间10日前，在规定信息发布网站上通知所有招标文件收受人，并要求收受人经确认澄清和修改已收悉，澄清和修改的内容作为招标文件的组成部分。招标人根据实际情况，延长投标截止时间的，将在投标截止时间前10日内告知所有招标文件收受人，并要求回执确认。</w:t>
      </w:r>
    </w:p>
    <w:p w14:paraId="0AD6995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购买招标文件的潜在投标人对招标文件有异议，应在投标截止时间10日前书面提出。逾期提出的将不予受理。对招标文件的异议应有法定代表人或其授权代表签章，并盖投标人公章并注明日期。</w:t>
      </w:r>
    </w:p>
    <w:p w14:paraId="6017260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没有提出异议且又参与了该项目投标的投标人将被视为完全认同招标文件。</w:t>
      </w:r>
    </w:p>
    <w:p w14:paraId="5DCC4E4B">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三、投标文件的编制</w:t>
      </w:r>
    </w:p>
    <w:p w14:paraId="4F526FEC">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（一）投标文件目录：未提供格式部分由投标人自拟</w:t>
      </w:r>
    </w:p>
    <w:p w14:paraId="5AA845A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投标文件分为价格标、商务技术标、资审文件三部分，投标人应分别编制、上传各部分 内容，商务技术标、资审文件不得出现本项目的“价格标”内容及投标报价，否则作无效标处理。</w:t>
      </w:r>
    </w:p>
    <w:p w14:paraId="0CC97835">
      <w:pPr>
        <w:ind w:firstLine="420"/>
        <w:rPr>
          <w:rFonts w:ascii="宋体" w:hAnsi="宋体" w:cs="宋体"/>
          <w:color w:val="auto"/>
          <w:highlight w:val="none"/>
          <w:lang w:val="zh-CN"/>
        </w:rPr>
      </w:pPr>
      <w:r>
        <w:rPr>
          <w:rFonts w:hint="eastAsia" w:ascii="宋体" w:hAnsi="宋体" w:cs="宋体"/>
          <w:color w:val="auto"/>
          <w:highlight w:val="none"/>
          <w:lang w:val="zh-CN"/>
        </w:rPr>
        <w:t>第一部分：资审文件</w:t>
      </w:r>
      <w:r>
        <w:rPr>
          <w:rFonts w:hint="eastAsia" w:ascii="宋体" w:hAnsi="宋体" w:cs="宋体"/>
          <w:b/>
          <w:bCs/>
          <w:color w:val="auto"/>
          <w:highlight w:val="none"/>
          <w:lang w:val="zh-CN"/>
        </w:rPr>
        <w:t>（★不得出现本项目的“价格标”内容及投标报价，否则作无效标处理）</w:t>
      </w:r>
    </w:p>
    <w:p w14:paraId="774ECEF4">
      <w:pPr>
        <w:ind w:firstLine="420"/>
        <w:rPr>
          <w:rFonts w:ascii="宋体" w:hAnsi="宋体" w:cs="宋体"/>
          <w:color w:val="auto"/>
          <w:highlight w:val="none"/>
          <w:lang w:val="zh-CN"/>
        </w:rPr>
      </w:pPr>
      <w:r>
        <w:rPr>
          <w:rFonts w:hint="eastAsia" w:ascii="宋体" w:hAnsi="宋体" w:cs="宋体"/>
          <w:color w:val="auto"/>
          <w:highlight w:val="none"/>
          <w:lang w:val="zh-CN"/>
        </w:rPr>
        <w:t>（1）法定代表人资格证明书或法定代表人授权委托书（格式见附件）；</w:t>
      </w:r>
    </w:p>
    <w:p w14:paraId="28C66860">
      <w:pPr>
        <w:ind w:firstLine="420"/>
        <w:rPr>
          <w:rFonts w:ascii="宋体" w:hAnsi="宋体" w:cs="宋体"/>
          <w:color w:val="auto"/>
          <w:highlight w:val="none"/>
          <w:lang w:val="zh-CN"/>
        </w:rPr>
      </w:pPr>
      <w:r>
        <w:rPr>
          <w:rFonts w:hint="eastAsia" w:ascii="宋体" w:hAnsi="宋体" w:cs="宋体"/>
          <w:color w:val="auto"/>
          <w:highlight w:val="none"/>
          <w:lang w:val="zh-CN"/>
        </w:rPr>
        <w:t>（2）投标人资格声明函（格式见附件）；</w:t>
      </w:r>
    </w:p>
    <w:p w14:paraId="09E4F324">
      <w:pPr>
        <w:ind w:firstLine="420"/>
        <w:rPr>
          <w:rFonts w:ascii="宋体" w:hAnsi="宋体" w:cs="宋体"/>
          <w:color w:val="auto"/>
          <w:highlight w:val="none"/>
          <w:lang w:val="zh-CN"/>
        </w:rPr>
      </w:pPr>
      <w:r>
        <w:rPr>
          <w:rFonts w:hint="eastAsia" w:ascii="宋体" w:hAnsi="宋体" w:cs="宋体"/>
          <w:color w:val="auto"/>
          <w:highlight w:val="none"/>
          <w:lang w:val="zh-CN"/>
        </w:rPr>
        <w:t>（3）</w:t>
      </w:r>
      <w:r>
        <w:rPr>
          <w:rFonts w:hint="eastAsia" w:ascii="宋体" w:hAnsi="宋体" w:cs="宋体"/>
          <w:color w:val="auto"/>
          <w:highlight w:val="none"/>
        </w:rPr>
        <w:t>营业执照</w:t>
      </w:r>
      <w:r>
        <w:rPr>
          <w:rFonts w:hint="eastAsia" w:ascii="宋体" w:hAnsi="宋体" w:cs="宋体"/>
          <w:color w:val="auto"/>
          <w:highlight w:val="none"/>
          <w:lang w:val="zh-CN"/>
        </w:rPr>
        <w:t>；</w:t>
      </w:r>
    </w:p>
    <w:p w14:paraId="4E7CEBEE">
      <w:pPr>
        <w:ind w:firstLine="420"/>
        <w:rPr>
          <w:rFonts w:ascii="宋体" w:hAnsi="宋体" w:cs="宋体"/>
          <w:color w:val="auto"/>
          <w:highlight w:val="none"/>
          <w:lang w:val="zh-CN"/>
        </w:rPr>
      </w:pPr>
      <w:r>
        <w:rPr>
          <w:rFonts w:hint="eastAsia" w:ascii="宋体" w:hAnsi="宋体" w:cs="宋体"/>
          <w:color w:val="auto"/>
          <w:highlight w:val="none"/>
          <w:lang w:val="zh-CN"/>
        </w:rPr>
        <w:t>（4）投标人基本情况表（格式见附件）；</w:t>
      </w:r>
    </w:p>
    <w:p w14:paraId="602EC47F">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w:t>
      </w:r>
      <w:r>
        <w:rPr>
          <w:rFonts w:hint="eastAsia" w:ascii="宋体" w:hAnsi="宋体" w:cs="宋体"/>
          <w:color w:val="auto"/>
          <w:highlight w:val="none"/>
        </w:rPr>
        <w:t>投标人信用查询</w:t>
      </w:r>
      <w:r>
        <w:rPr>
          <w:rFonts w:hint="eastAsia" w:ascii="宋体" w:hAnsi="宋体" w:cs="宋体"/>
          <w:color w:val="auto"/>
          <w:highlight w:val="none"/>
          <w:lang w:val="zh-CN"/>
        </w:rPr>
        <w:t>（格式自拟）；</w:t>
      </w:r>
    </w:p>
    <w:p w14:paraId="107D63F6">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6</w:t>
      </w:r>
      <w:r>
        <w:rPr>
          <w:rFonts w:hint="eastAsia" w:ascii="宋体" w:hAnsi="宋体" w:cs="宋体"/>
          <w:color w:val="auto"/>
          <w:highlight w:val="none"/>
          <w:lang w:val="zh-CN"/>
        </w:rPr>
        <w:t>）制造商承诺函（投标人为本项目所采购产品制造商时提供，格式仅供参考）；</w:t>
      </w:r>
    </w:p>
    <w:p w14:paraId="6BE5890B">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7</w:t>
      </w:r>
      <w:r>
        <w:rPr>
          <w:rFonts w:hint="eastAsia" w:ascii="宋体" w:hAnsi="宋体" w:cs="宋体"/>
          <w:color w:val="auto"/>
          <w:highlight w:val="none"/>
          <w:lang w:val="zh-CN"/>
        </w:rPr>
        <w:t>）制造商出具的代理授权书（投标人为本项目所采购产品代理商时提供，格式自拟）；</w:t>
      </w:r>
    </w:p>
    <w:p w14:paraId="2FA746D5">
      <w:pPr>
        <w:ind w:firstLine="420"/>
        <w:rPr>
          <w:rFonts w:hint="eastAsia"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8</w:t>
      </w:r>
      <w:r>
        <w:rPr>
          <w:rFonts w:hint="eastAsia" w:ascii="宋体" w:hAnsi="宋体" w:cs="宋体"/>
          <w:color w:val="auto"/>
          <w:highlight w:val="none"/>
          <w:lang w:val="zh-CN"/>
        </w:rPr>
        <w:t>）</w:t>
      </w:r>
      <w:r>
        <w:rPr>
          <w:rFonts w:hint="eastAsia" w:ascii="宋体" w:hAnsi="宋体" w:cs="宋体"/>
          <w:color w:val="auto"/>
          <w:highlight w:val="none"/>
        </w:rPr>
        <w:t>业绩</w:t>
      </w:r>
      <w:r>
        <w:rPr>
          <w:rFonts w:hint="eastAsia" w:ascii="宋体" w:hAnsi="宋体" w:cs="宋体"/>
          <w:color w:val="auto"/>
          <w:highlight w:val="none"/>
          <w:lang w:val="zh-CN"/>
        </w:rPr>
        <w:t>（格式自拟）；</w:t>
      </w:r>
    </w:p>
    <w:p w14:paraId="329A5756">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9</w:t>
      </w:r>
      <w:r>
        <w:rPr>
          <w:rFonts w:hint="eastAsia" w:ascii="宋体" w:hAnsi="宋体" w:cs="宋体"/>
          <w:color w:val="auto"/>
          <w:highlight w:val="none"/>
          <w:lang w:val="zh-CN"/>
        </w:rPr>
        <w:t>）招标文件要求的或投标人认为有必要提供的其他情况说明或资质证书。</w:t>
      </w:r>
    </w:p>
    <w:p w14:paraId="1A28DDFF">
      <w:pPr>
        <w:ind w:firstLine="420"/>
        <w:rPr>
          <w:rFonts w:ascii="宋体" w:hAnsi="宋体" w:cs="宋体"/>
          <w:color w:val="auto"/>
          <w:highlight w:val="none"/>
          <w:lang w:val="zh-CN"/>
        </w:rPr>
      </w:pPr>
      <w:r>
        <w:rPr>
          <w:rFonts w:hint="eastAsia" w:ascii="宋体" w:hAnsi="宋体" w:cs="宋体"/>
          <w:color w:val="auto"/>
          <w:highlight w:val="none"/>
          <w:lang w:val="zh-CN"/>
        </w:rPr>
        <w:t>第二部分：商务技术</w:t>
      </w:r>
      <w:r>
        <w:rPr>
          <w:rFonts w:hint="eastAsia" w:ascii="宋体" w:hAnsi="宋体" w:cs="宋体"/>
          <w:color w:val="auto"/>
          <w:highlight w:val="none"/>
        </w:rPr>
        <w:t>标</w:t>
      </w:r>
      <w:r>
        <w:rPr>
          <w:rFonts w:hint="eastAsia" w:ascii="宋体" w:hAnsi="宋体" w:cs="宋体"/>
          <w:b/>
          <w:bCs/>
          <w:color w:val="auto"/>
          <w:highlight w:val="none"/>
          <w:lang w:val="zh-CN"/>
        </w:rPr>
        <w:t>（★不得出现本项目的“价格标”内容及投标报价，否则作无效标处理）</w:t>
      </w:r>
    </w:p>
    <w:p w14:paraId="59651519">
      <w:pPr>
        <w:ind w:firstLine="420"/>
        <w:rPr>
          <w:rFonts w:ascii="宋体" w:hAnsi="宋体" w:cs="宋体"/>
          <w:color w:val="auto"/>
          <w:highlight w:val="none"/>
          <w:lang w:val="zh-CN"/>
        </w:rPr>
      </w:pPr>
      <w:r>
        <w:rPr>
          <w:rFonts w:hint="eastAsia" w:ascii="宋体" w:hAnsi="宋体" w:cs="宋体"/>
          <w:color w:val="auto"/>
          <w:highlight w:val="none"/>
          <w:lang w:val="zh-CN"/>
        </w:rPr>
        <w:t>（1）商务响应表（格式见附件）；</w:t>
      </w:r>
    </w:p>
    <w:p w14:paraId="7DCCA670">
      <w:pPr>
        <w:ind w:firstLine="420"/>
        <w:rPr>
          <w:rFonts w:ascii="宋体" w:hAnsi="宋体" w:cs="宋体"/>
          <w:color w:val="auto"/>
          <w:highlight w:val="none"/>
          <w:lang w:val="zh-CN"/>
        </w:rPr>
      </w:pPr>
      <w:r>
        <w:rPr>
          <w:rFonts w:hint="eastAsia" w:ascii="宋体" w:hAnsi="宋体" w:cs="宋体"/>
          <w:color w:val="auto"/>
          <w:highlight w:val="none"/>
          <w:lang w:val="zh-CN"/>
        </w:rPr>
        <w:t xml:space="preserve">（2）技术响应表（对技术需求中提出的产品技术参数进行响应，格式见附件）； </w:t>
      </w:r>
    </w:p>
    <w:p w14:paraId="2EF68FB8">
      <w:pPr>
        <w:ind w:firstLine="420"/>
        <w:rPr>
          <w:rFonts w:ascii="宋体" w:hAnsi="宋体" w:cs="宋体"/>
          <w:color w:val="auto"/>
          <w:highlight w:val="none"/>
          <w:lang w:val="zh-CN"/>
        </w:rPr>
      </w:pPr>
      <w:r>
        <w:rPr>
          <w:rFonts w:hint="eastAsia" w:ascii="宋体" w:hAnsi="宋体" w:cs="宋体"/>
          <w:color w:val="auto"/>
          <w:highlight w:val="none"/>
          <w:lang w:val="zh-CN"/>
        </w:rPr>
        <w:t>（3）业绩；</w:t>
      </w:r>
    </w:p>
    <w:p w14:paraId="42BCD862">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4</w:t>
      </w:r>
      <w:r>
        <w:rPr>
          <w:rFonts w:hint="eastAsia" w:ascii="宋体" w:hAnsi="宋体" w:cs="宋体"/>
          <w:color w:val="auto"/>
          <w:highlight w:val="none"/>
          <w:lang w:val="zh-CN"/>
        </w:rPr>
        <w:t>）质保</w:t>
      </w:r>
      <w:r>
        <w:rPr>
          <w:rFonts w:hint="eastAsia" w:ascii="宋体" w:hAnsi="宋体" w:cs="宋体"/>
          <w:color w:val="auto"/>
          <w:highlight w:val="none"/>
        </w:rPr>
        <w:t>期</w:t>
      </w:r>
      <w:r>
        <w:rPr>
          <w:rFonts w:hint="eastAsia" w:ascii="宋体" w:hAnsi="宋体" w:cs="宋体"/>
          <w:color w:val="auto"/>
          <w:highlight w:val="none"/>
          <w:lang w:val="zh-CN"/>
        </w:rPr>
        <w:t>承诺函；</w:t>
      </w:r>
    </w:p>
    <w:p w14:paraId="6ECE7D4E">
      <w:pPr>
        <w:ind w:firstLine="420"/>
        <w:rPr>
          <w:rFonts w:hint="eastAsia"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w:t>
      </w:r>
      <w:r>
        <w:rPr>
          <w:rFonts w:hint="eastAsia" w:ascii="宋体" w:hAnsi="宋体" w:cs="宋体"/>
          <w:color w:val="auto"/>
          <w:highlight w:val="none"/>
          <w:lang w:val="en-US" w:eastAsia="zh-CN"/>
        </w:rPr>
        <w:t>设备性能参数</w:t>
      </w:r>
      <w:r>
        <w:rPr>
          <w:rFonts w:hint="eastAsia" w:ascii="宋体" w:hAnsi="宋体" w:cs="宋体"/>
          <w:color w:val="auto"/>
          <w:highlight w:val="none"/>
          <w:lang w:val="zh-CN"/>
        </w:rPr>
        <w:t>（格式自拟）；</w:t>
      </w:r>
    </w:p>
    <w:p w14:paraId="7FF4961B">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6</w:t>
      </w:r>
      <w:r>
        <w:rPr>
          <w:rFonts w:hint="eastAsia" w:ascii="宋体" w:hAnsi="宋体" w:cs="宋体"/>
          <w:color w:val="auto"/>
          <w:highlight w:val="none"/>
          <w:lang w:val="zh-CN"/>
        </w:rPr>
        <w:t>）</w:t>
      </w:r>
      <w:r>
        <w:rPr>
          <w:rFonts w:hint="eastAsia" w:ascii="宋体" w:hAnsi="宋体" w:cs="宋体"/>
          <w:color w:val="auto"/>
          <w:highlight w:val="none"/>
          <w:lang w:val="en-US" w:eastAsia="zh-CN"/>
        </w:rPr>
        <w:t>结构及制造工艺</w:t>
      </w:r>
      <w:r>
        <w:rPr>
          <w:rFonts w:hint="eastAsia" w:ascii="宋体" w:hAnsi="宋体" w:cs="宋体"/>
          <w:color w:val="auto"/>
          <w:highlight w:val="none"/>
          <w:lang w:val="zh-CN"/>
        </w:rPr>
        <w:t>（格式自拟）；</w:t>
      </w:r>
    </w:p>
    <w:p w14:paraId="6051D1BC">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7</w:t>
      </w:r>
      <w:r>
        <w:rPr>
          <w:rFonts w:hint="eastAsia" w:ascii="宋体" w:hAnsi="宋体" w:cs="宋体"/>
          <w:color w:val="auto"/>
          <w:highlight w:val="none"/>
          <w:lang w:val="zh-CN"/>
        </w:rPr>
        <w:t>）设备安装、调试、验收的方案和措施（格式自拟）；</w:t>
      </w:r>
    </w:p>
    <w:p w14:paraId="62109900">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8</w:t>
      </w:r>
      <w:r>
        <w:rPr>
          <w:rFonts w:hint="eastAsia" w:ascii="宋体" w:hAnsi="宋体" w:cs="宋体"/>
          <w:color w:val="auto"/>
          <w:highlight w:val="none"/>
          <w:lang w:val="zh-CN"/>
        </w:rPr>
        <w:t>）</w:t>
      </w:r>
      <w:r>
        <w:rPr>
          <w:rFonts w:hint="eastAsia" w:ascii="宋体" w:hAnsi="宋体" w:cs="宋体"/>
          <w:color w:val="auto"/>
          <w:highlight w:val="none"/>
        </w:rPr>
        <w:t>售后服务</w:t>
      </w:r>
      <w:r>
        <w:rPr>
          <w:rFonts w:hint="eastAsia" w:ascii="宋体" w:hAnsi="宋体" w:cs="宋体"/>
          <w:color w:val="auto"/>
          <w:highlight w:val="none"/>
          <w:lang w:val="zh-CN"/>
        </w:rPr>
        <w:t>（格式自拟）；</w:t>
      </w:r>
    </w:p>
    <w:p w14:paraId="2EC2C59D">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9</w:t>
      </w:r>
      <w:r>
        <w:rPr>
          <w:rFonts w:hint="eastAsia" w:ascii="宋体" w:hAnsi="宋体" w:cs="宋体"/>
          <w:color w:val="auto"/>
          <w:highlight w:val="none"/>
          <w:lang w:val="zh-CN"/>
        </w:rPr>
        <w:t>）</w:t>
      </w:r>
      <w:r>
        <w:rPr>
          <w:rFonts w:hint="eastAsia"/>
          <w:color w:val="auto"/>
          <w:highlight w:val="none"/>
        </w:rPr>
        <w:t>招标文件第二章招标需求中</w:t>
      </w:r>
      <w:r>
        <w:rPr>
          <w:rFonts w:hint="eastAsia" w:ascii="宋体" w:hAnsi="宋体" w:cs="宋体"/>
          <w:color w:val="auto"/>
          <w:highlight w:val="none"/>
          <w:lang w:val="en-US" w:eastAsia="zh-CN"/>
        </w:rPr>
        <w:t>需要提供的其他资料</w:t>
      </w:r>
      <w:r>
        <w:rPr>
          <w:rFonts w:hint="eastAsia" w:ascii="宋体" w:hAnsi="宋体" w:cs="宋体"/>
          <w:color w:val="auto"/>
          <w:highlight w:val="none"/>
          <w:lang w:val="zh-CN"/>
        </w:rPr>
        <w:t>（格式自拟）；</w:t>
      </w:r>
    </w:p>
    <w:p w14:paraId="48CC5F28">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10</w:t>
      </w:r>
      <w:r>
        <w:rPr>
          <w:rFonts w:hint="eastAsia" w:ascii="宋体" w:hAnsi="宋体" w:cs="宋体"/>
          <w:color w:val="auto"/>
          <w:highlight w:val="none"/>
          <w:lang w:val="zh-CN"/>
        </w:rPr>
        <w:t>）商务技术标评审所涉及的其他资料（若有，格式自拟）；</w:t>
      </w:r>
    </w:p>
    <w:p w14:paraId="5A9A5527">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11</w:t>
      </w:r>
      <w:r>
        <w:rPr>
          <w:rFonts w:hint="eastAsia" w:ascii="宋体" w:hAnsi="宋体" w:cs="宋体"/>
          <w:color w:val="auto"/>
          <w:highlight w:val="none"/>
          <w:lang w:val="zh-CN"/>
        </w:rPr>
        <w:t>）投标人需要特别说明的其他文件（若有，格式自拟）。</w:t>
      </w:r>
    </w:p>
    <w:p w14:paraId="23E086D7">
      <w:pPr>
        <w:ind w:firstLine="420"/>
        <w:rPr>
          <w:rFonts w:ascii="宋体" w:hAnsi="宋体" w:cs="宋体"/>
          <w:color w:val="auto"/>
          <w:highlight w:val="none"/>
          <w:lang w:val="zh-CN"/>
        </w:rPr>
      </w:pPr>
      <w:r>
        <w:rPr>
          <w:rFonts w:hint="eastAsia" w:ascii="宋体" w:hAnsi="宋体" w:cs="宋体"/>
          <w:color w:val="auto"/>
          <w:highlight w:val="none"/>
          <w:lang w:val="zh-CN"/>
        </w:rPr>
        <w:t>第三部分：价格标</w:t>
      </w:r>
    </w:p>
    <w:p w14:paraId="49D312B0">
      <w:pPr>
        <w:ind w:firstLine="420"/>
        <w:rPr>
          <w:rFonts w:ascii="宋体" w:hAnsi="宋体" w:cs="宋体"/>
          <w:color w:val="auto"/>
          <w:highlight w:val="none"/>
          <w:lang w:val="zh-CN"/>
        </w:rPr>
      </w:pPr>
      <w:r>
        <w:rPr>
          <w:rFonts w:hint="eastAsia" w:ascii="宋体" w:hAnsi="宋体" w:cs="宋体"/>
          <w:color w:val="auto"/>
          <w:highlight w:val="none"/>
          <w:lang w:val="zh-CN"/>
        </w:rPr>
        <w:t>（1）投标函（格式见附件）；</w:t>
      </w:r>
    </w:p>
    <w:p w14:paraId="0EDB996F">
      <w:pPr>
        <w:ind w:firstLine="420"/>
        <w:rPr>
          <w:rFonts w:ascii="宋体" w:hAnsi="宋体" w:cs="宋体"/>
          <w:color w:val="auto"/>
          <w:highlight w:val="none"/>
          <w:lang w:val="zh-CN"/>
        </w:rPr>
      </w:pPr>
      <w:r>
        <w:rPr>
          <w:rFonts w:hint="eastAsia" w:ascii="宋体" w:hAnsi="宋体" w:cs="宋体"/>
          <w:color w:val="auto"/>
          <w:highlight w:val="none"/>
          <w:lang w:val="zh-CN"/>
        </w:rPr>
        <w:t>（2）报价表（格式见附件）；</w:t>
      </w:r>
    </w:p>
    <w:p w14:paraId="148D93FF">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3</w:t>
      </w:r>
      <w:r>
        <w:rPr>
          <w:rFonts w:hint="eastAsia" w:ascii="宋体" w:hAnsi="宋体" w:cs="宋体"/>
          <w:color w:val="auto"/>
          <w:highlight w:val="none"/>
          <w:lang w:val="zh-CN"/>
        </w:rPr>
        <w:t>）</w:t>
      </w:r>
      <w:r>
        <w:rPr>
          <w:rFonts w:hint="eastAsia" w:ascii="宋体" w:hAnsi="宋体" w:cs="宋体"/>
          <w:color w:val="auto"/>
          <w:highlight w:val="none"/>
        </w:rPr>
        <w:t>分项报价</w:t>
      </w:r>
      <w:r>
        <w:rPr>
          <w:rFonts w:hint="eastAsia" w:ascii="宋体" w:hAnsi="宋体" w:cs="宋体"/>
          <w:color w:val="auto"/>
          <w:highlight w:val="none"/>
          <w:lang w:val="zh-CN"/>
        </w:rPr>
        <w:t>表（格式见附件）；</w:t>
      </w:r>
    </w:p>
    <w:p w14:paraId="4934AAA0">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4</w:t>
      </w:r>
      <w:r>
        <w:rPr>
          <w:rFonts w:hint="eastAsia" w:ascii="宋体" w:hAnsi="宋体" w:cs="宋体"/>
          <w:color w:val="auto"/>
          <w:highlight w:val="none"/>
          <w:lang w:val="zh-CN"/>
        </w:rPr>
        <w:t>）</w:t>
      </w:r>
      <w:r>
        <w:rPr>
          <w:rFonts w:hint="eastAsia" w:ascii="宋体" w:hAnsi="宋体" w:cs="宋体"/>
          <w:color w:val="auto"/>
          <w:highlight w:val="none"/>
        </w:rPr>
        <w:t>随机备品备件清单</w:t>
      </w:r>
      <w:r>
        <w:rPr>
          <w:rFonts w:hint="eastAsia" w:ascii="宋体" w:hAnsi="宋体" w:cs="宋体"/>
          <w:color w:val="auto"/>
          <w:highlight w:val="none"/>
          <w:lang w:val="zh-CN"/>
        </w:rPr>
        <w:t>（格式见附件）；</w:t>
      </w:r>
    </w:p>
    <w:p w14:paraId="7E02CDC5">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）投标人针对报价需要说明的其他文件和说明（格式自拟）；</w:t>
      </w:r>
    </w:p>
    <w:p w14:paraId="71BDB44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lang w:val="zh-CN"/>
        </w:rPr>
        <w:t>注：以上投标资料所要求为扫描件，均须加盖公章。中标后招标人</w:t>
      </w:r>
      <w:r>
        <w:rPr>
          <w:rFonts w:hint="eastAsia" w:ascii="宋体" w:hAnsi="宋体" w:cs="宋体"/>
          <w:color w:val="auto"/>
          <w:szCs w:val="21"/>
          <w:highlight w:val="none"/>
        </w:rPr>
        <w:t>有权</w:t>
      </w:r>
      <w:r>
        <w:rPr>
          <w:rFonts w:hint="eastAsia" w:ascii="宋体" w:hAnsi="宋体" w:cs="宋体"/>
          <w:color w:val="auto"/>
          <w:szCs w:val="21"/>
          <w:highlight w:val="none"/>
          <w:lang w:val="zh-CN"/>
        </w:rPr>
        <w:t>对中标单位相关资料进行原件核实，若有虚假，则取消中标资格，并追究相应责任。</w:t>
      </w:r>
    </w:p>
    <w:p w14:paraId="4E2DF6D3">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w:t>
      </w:r>
      <w:bookmarkStart w:id="23" w:name="_Toc14400"/>
      <w:r>
        <w:rPr>
          <w:rFonts w:hint="eastAsia" w:ascii="宋体" w:hAnsi="宋体" w:cs="宋体"/>
          <w:color w:val="auto"/>
          <w:szCs w:val="21"/>
          <w:highlight w:val="none"/>
        </w:rPr>
        <w:t>二）投标文件的语言及计量</w:t>
      </w:r>
    </w:p>
    <w:bookmarkEnd w:id="23"/>
    <w:p w14:paraId="190BBEC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投标文件以及投标人与招标人就有关投标事宜的所有来往函电，均应以中文汉语书写。除签名、盖章、专用名称等特殊情形外，以中文汉语以外的文字表述的投标文件视同未提供。</w:t>
      </w:r>
    </w:p>
    <w:p w14:paraId="6CD0D802">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投标计量单位，招标文件已有明确规定的，使用招标文件规定的计量单位；招标文件没有规定的，应采用中华人民共和国法定计量单位（例如货币单位：人民币元），否则视同未响应。</w:t>
      </w:r>
    </w:p>
    <w:p w14:paraId="5C758060">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w:t>
      </w:r>
      <w:bookmarkStart w:id="24" w:name="_Toc30109"/>
      <w:r>
        <w:rPr>
          <w:rFonts w:hint="eastAsia" w:ascii="宋体" w:hAnsi="宋体" w:cs="宋体"/>
          <w:color w:val="auto"/>
          <w:szCs w:val="21"/>
          <w:highlight w:val="none"/>
        </w:rPr>
        <w:t>三）投标报价</w:t>
      </w:r>
    </w:p>
    <w:bookmarkEnd w:id="24"/>
    <w:p w14:paraId="463D933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w:t>
      </w:r>
      <w:bookmarkStart w:id="25" w:name="_Toc26553"/>
      <w:r>
        <w:rPr>
          <w:rFonts w:hint="eastAsia" w:ascii="宋体" w:hAnsi="宋体" w:cs="宋体"/>
          <w:color w:val="auto"/>
          <w:szCs w:val="21"/>
          <w:highlight w:val="none"/>
        </w:rPr>
        <w:t>. 投标报价应按招标文件中相关附表格式填写。</w:t>
      </w:r>
    </w:p>
    <w:bookmarkEnd w:id="25"/>
    <w:p w14:paraId="6B8FE18F">
      <w:pPr>
        <w:adjustRightInd w:val="0"/>
        <w:snapToGrid w:val="0"/>
        <w:ind w:firstLine="422"/>
        <w:rPr>
          <w:rFonts w:ascii="宋体" w:hAnsi="宋体" w:cs="宋体"/>
          <w:b/>
          <w:bCs/>
          <w:color w:val="auto"/>
          <w:highlight w:val="none"/>
        </w:rPr>
      </w:pPr>
      <w:bookmarkStart w:id="26" w:name="_Toc27262"/>
      <w:r>
        <w:rPr>
          <w:rFonts w:hint="eastAsia" w:ascii="宋体" w:hAnsi="宋体" w:cs="宋体"/>
          <w:b/>
          <w:bCs/>
          <w:color w:val="auto"/>
          <w:szCs w:val="21"/>
          <w:highlight w:val="none"/>
        </w:rPr>
        <w:t>2. 报</w:t>
      </w:r>
      <w:bookmarkEnd w:id="26"/>
      <w:r>
        <w:rPr>
          <w:rFonts w:hint="eastAsia" w:ascii="宋体" w:hAnsi="宋体" w:cs="宋体"/>
          <w:b/>
          <w:bCs/>
          <w:color w:val="auto"/>
          <w:szCs w:val="21"/>
          <w:highlight w:val="none"/>
        </w:rPr>
        <w:t>价内容</w:t>
      </w:r>
      <w:r>
        <w:rPr>
          <w:rFonts w:hint="eastAsia" w:ascii="宋体" w:hAnsi="宋体" w:cs="宋体"/>
          <w:b/>
          <w:bCs/>
          <w:color w:val="auto"/>
          <w:highlight w:val="none"/>
        </w:rPr>
        <w:t>包含招标文件规定的货物、增值税（13%）、标准附件、安装、调试、检验、培训、技术服务、运至最终目的地的运费和保险费等所有费用（含平台交易服务费），招标人不再另行支付任何费用。</w:t>
      </w:r>
    </w:p>
    <w:p w14:paraId="2C7F152C">
      <w:pPr>
        <w:adjustRightInd w:val="0"/>
        <w:snapToGrid w:val="0"/>
        <w:ind w:firstLine="420"/>
        <w:rPr>
          <w:rFonts w:ascii="宋体" w:hAnsi="宋体" w:cs="宋体"/>
          <w:color w:val="auto"/>
          <w:szCs w:val="21"/>
          <w:highlight w:val="none"/>
        </w:rPr>
      </w:pPr>
      <w:bookmarkStart w:id="27" w:name="_Toc4050"/>
      <w:r>
        <w:rPr>
          <w:rFonts w:hint="eastAsia" w:ascii="宋体" w:hAnsi="宋体" w:cs="宋体"/>
          <w:color w:val="auto"/>
          <w:szCs w:val="21"/>
          <w:highlight w:val="none"/>
        </w:rPr>
        <w:t>3. 投标文件只允许有一个投标总价，有选择的或有条件的报价将不予接受。</w:t>
      </w:r>
    </w:p>
    <w:bookmarkEnd w:id="27"/>
    <w:p w14:paraId="74295B65">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w:t>
      </w:r>
      <w:bookmarkStart w:id="28" w:name="_Toc11291"/>
      <w:r>
        <w:rPr>
          <w:rFonts w:hint="eastAsia" w:ascii="宋体" w:hAnsi="宋体" w:cs="宋体"/>
          <w:color w:val="auto"/>
          <w:szCs w:val="21"/>
          <w:highlight w:val="none"/>
        </w:rPr>
        <w:t>四）投标文件的有效期</w:t>
      </w:r>
    </w:p>
    <w:bookmarkEnd w:id="28"/>
    <w:p w14:paraId="2A695E6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自投标截止日起90天投标文件应保持有效。有效期不足的投标文件将被拒绝。</w:t>
      </w:r>
    </w:p>
    <w:p w14:paraId="1CF021B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在特殊情况下，招标人可与投标人协商延长投标书的有效期，这种要求和答复均以书面形式进行。</w:t>
      </w:r>
    </w:p>
    <w:p w14:paraId="4006A75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w:t>
      </w:r>
      <w:bookmarkStart w:id="29" w:name="_Toc13025"/>
      <w:r>
        <w:rPr>
          <w:rFonts w:hint="eastAsia" w:ascii="宋体" w:hAnsi="宋体" w:cs="宋体"/>
          <w:color w:val="auto"/>
          <w:szCs w:val="21"/>
          <w:highlight w:val="none"/>
        </w:rPr>
        <w:t>. 投标人可拒绝接受延期要求而不会导致投标保证金被没收。同意延长有效期的投标人需要相应延长投标保证金的有效期，但不能修改投标文件。</w:t>
      </w:r>
    </w:p>
    <w:bookmarkEnd w:id="29"/>
    <w:p w14:paraId="0971E09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w:t>
      </w:r>
      <w:bookmarkStart w:id="30" w:name="_Toc19039"/>
      <w:r>
        <w:rPr>
          <w:rFonts w:hint="eastAsia" w:ascii="宋体" w:hAnsi="宋体" w:cs="宋体"/>
          <w:color w:val="auto"/>
          <w:szCs w:val="21"/>
          <w:highlight w:val="none"/>
        </w:rPr>
        <w:t>. 中标人的投标文件自开标之日起至合同履行完毕为止均应保持有效。</w:t>
      </w:r>
    </w:p>
    <w:bookmarkEnd w:id="30"/>
    <w:p w14:paraId="2CB99C78">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w:t>
      </w:r>
      <w:bookmarkStart w:id="31" w:name="_Toc1123"/>
      <w:r>
        <w:rPr>
          <w:rFonts w:hint="eastAsia" w:ascii="宋体" w:hAnsi="宋体" w:cs="宋体"/>
          <w:color w:val="auto"/>
          <w:szCs w:val="21"/>
          <w:highlight w:val="none"/>
        </w:rPr>
        <w:t>五）投标保证金</w:t>
      </w:r>
    </w:p>
    <w:bookmarkEnd w:id="31"/>
    <w:p w14:paraId="1F1A330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投标人须按规定提交投标保证金。否则，其投标将被拒绝。</w:t>
      </w:r>
    </w:p>
    <w:p w14:paraId="096D350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保证金形式：电汇。</w:t>
      </w:r>
    </w:p>
    <w:p w14:paraId="785A75D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中标人的投标保证金最迟在签署合同后5日内无息退还。未中标人的投标保证金将在中标通知书发出后5日内无息退还。</w:t>
      </w:r>
    </w:p>
    <w:p w14:paraId="4449242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 投标人有下列情形之一的，投标保证金将不予退还：</w:t>
      </w:r>
    </w:p>
    <w:p w14:paraId="522DBBC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（1）投标人在投标有效期内撤回投标文件的；</w:t>
      </w:r>
    </w:p>
    <w:p w14:paraId="3E7F61E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（2）在提交投标文件截止时间后主动对投标文件提出实质性修改的；</w:t>
      </w:r>
    </w:p>
    <w:p w14:paraId="5EF7FF8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（3）投标人在投标过程中存在串通投标、弄虚作假、提供虚假材料等行为的；</w:t>
      </w:r>
    </w:p>
    <w:p w14:paraId="7A761F2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（4）中标人无正当理由不与招标人签订合同的；</w:t>
      </w:r>
    </w:p>
    <w:p w14:paraId="1A5905C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（5）将中标项目转让给他人或者在投标文件中未说明且未经招标人同意，将中标项目分包给他人的；</w:t>
      </w:r>
    </w:p>
    <w:p w14:paraId="26951EF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（6）拒绝履行合同义务的；</w:t>
      </w:r>
    </w:p>
    <w:p w14:paraId="176F04F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（7）其他严重扰乱招投标程序的。</w:t>
      </w:r>
    </w:p>
    <w:p w14:paraId="7AB34A66">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w:t>
      </w:r>
      <w:bookmarkStart w:id="32" w:name="_Toc2315"/>
      <w:r>
        <w:rPr>
          <w:rFonts w:hint="eastAsia" w:ascii="宋体" w:hAnsi="宋体" w:cs="宋体"/>
          <w:color w:val="auto"/>
          <w:szCs w:val="21"/>
          <w:highlight w:val="none"/>
        </w:rPr>
        <w:t>六）投标文件的签署</w:t>
      </w:r>
    </w:p>
    <w:bookmarkEnd w:id="32"/>
    <w:p w14:paraId="43E9F76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投标人应按本招标文件规定的格式和顺序编制投标文件并标注页码，投标文件内容不完整、编排及上传混乱导致投标文件被误读、漏读或者查找不到相关内容的，是投标人的责任。</w:t>
      </w:r>
    </w:p>
    <w:p w14:paraId="2000872D">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投标人根据招标文件要求分别提供价格标、商务技术标、资审文件。</w:t>
      </w:r>
    </w:p>
    <w:p w14:paraId="4EFE6B6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法定代表人授权委托书必须由法定代表人签章或盖法人章、被授权人签章并加盖单位公章。投标文件及投标报价表必须由法定代表人或被授权人签章并加盖单位公章，投标人应写全称。</w:t>
      </w:r>
    </w:p>
    <w:p w14:paraId="3152C140">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4. 投标文件不得涂改，若有修改错漏处，须加盖单位公章或者法定代表人或授权委托人签字或盖章。投标文件因字迹潦草或表达不清所引起的后果由投标人负责。</w:t>
      </w:r>
    </w:p>
    <w:p w14:paraId="48E0CCD2">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（七）投标文件的递交、修改和撤回</w:t>
      </w:r>
    </w:p>
    <w:p w14:paraId="18CBB21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投标文件需在投标文件递交的截止时间前递交。</w:t>
      </w:r>
    </w:p>
    <w:p w14:paraId="6B12E41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投标人在投标截止时间之前，可以对已提交的投标文件进行修改或撤回；投标截止时间后，投标人不得撤回、修改投标文件。</w:t>
      </w:r>
    </w:p>
    <w:p w14:paraId="25C5BD36">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（八）投标无效的情形</w:t>
      </w:r>
    </w:p>
    <w:p w14:paraId="5B1FD60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14:paraId="09361E9E">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1.在资审文件和商务技术标评审时，如发现下列情形之一的，投标文件将被视为无效:</w:t>
      </w:r>
    </w:p>
    <w:p w14:paraId="22ED5215">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(1)投标人的资格条件不符合招标文件要求的。</w:t>
      </w:r>
    </w:p>
    <w:p w14:paraId="24F54873">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(2)投标人未提交投标保证金或保证金金额不足，投标保证金形式不符合招标文件要求的。</w:t>
      </w:r>
    </w:p>
    <w:p w14:paraId="5AE43B0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(3)投标交件未按招标文件要求签字盖章的。</w:t>
      </w:r>
    </w:p>
    <w:p w14:paraId="657B1511">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(4)投标有效期不足的。</w:t>
      </w:r>
    </w:p>
    <w:p w14:paraId="622E6E34">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(5)未按招标文件要求格式编制或未上传完整的资审文件和商务技术标。</w:t>
      </w:r>
    </w:p>
    <w:p w14:paraId="6D2C8653">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(6)与招标文件有重大偏离，投标文件不满足招标文件及澄清文件中实质性条款(★)的。</w:t>
      </w:r>
    </w:p>
    <w:p w14:paraId="4DE4E90D">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(7)经评标小组认定为串标投标或弄虚作假或有违反有关招投标法律、法规、规章行为的。</w:t>
      </w:r>
    </w:p>
    <w:p w14:paraId="6E8649FC">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(8)不同投标人的电子投标文件编制时的计算机硬件信息中网卡MAC地址（如有）、硬盘（含移动存储介质）序列号（0ptane_0000、0100_0000_0000_0000序列号除外）、互联网接入IP地址相同。</w:t>
      </w:r>
    </w:p>
    <w:p w14:paraId="50CAE82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(9)资审文件或商务技术标中出现“价格标”内容或投标报价。</w:t>
      </w:r>
    </w:p>
    <w:p w14:paraId="7CA14935">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(10)投标文件实质上没有响应招标文件要求的。</w:t>
      </w:r>
    </w:p>
    <w:p w14:paraId="67792682">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(11)投标文件中附有招标人不能接受的条件的。</w:t>
      </w:r>
    </w:p>
    <w:p w14:paraId="5B2970C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2.在价格标评审时，如发现下列情形之一的，投标文件将被视为无效 :</w:t>
      </w:r>
    </w:p>
    <w:p w14:paraId="14DA86E8">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(1)未按招标文件要求格式编制或未上传完整的价格标。</w:t>
      </w:r>
    </w:p>
    <w:p w14:paraId="01503276">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(2)投标交件未按招标文件要求签字盖章的。</w:t>
      </w:r>
    </w:p>
    <w:p w14:paraId="123B3C9D">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(3)投标报价高于招标文件规定的招标控制价的。</w:t>
      </w:r>
    </w:p>
    <w:p w14:paraId="72FBA20F">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在评标过程中，评标委员会发现投标人的报价明显低于其他投标报价，使得其投标报价可能低于其个别成本的，应当要求该投标人作出说明并提供相关证明材料。投标人不能合理说明或者不能提供相关证明材料的，由评标委员会认定该投标人以低于成本报价竞标，其投标作无效标处理。</w:t>
      </w:r>
    </w:p>
    <w:p w14:paraId="5CADC34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(5)投标文件实质上没有响应招标文件要求的。</w:t>
      </w:r>
    </w:p>
    <w:p w14:paraId="5D585E39">
      <w:pPr>
        <w:adjustRightInd w:val="0"/>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(6)投标文件中附有招标人不能接受的条件的。</w:t>
      </w:r>
    </w:p>
    <w:p w14:paraId="6E7D3769">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四、重新招标</w:t>
      </w:r>
    </w:p>
    <w:p w14:paraId="00D5465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有下列情形之一的，招标人将重新招标：</w:t>
      </w:r>
    </w:p>
    <w:p w14:paraId="0123500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至投标截止时间止，投标人不足3家的，本项目无法开标，重新组织招标。</w:t>
      </w:r>
    </w:p>
    <w:p w14:paraId="7EB4AA3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开标后经评审，当有效标不足3家时，评标委员会应否决全部投标，重新组织招标。</w:t>
      </w:r>
    </w:p>
    <w:p w14:paraId="3679D1FA">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中标候选人均未与招标人签订合同的，重新组织招标。</w:t>
      </w:r>
    </w:p>
    <w:p w14:paraId="7B3CED97">
      <w:pPr>
        <w:pStyle w:val="3"/>
        <w:adjustRightInd w:val="0"/>
        <w:spacing w:before="0" w:beforeLines="0"/>
        <w:rPr>
          <w:rFonts w:ascii="宋体" w:hAnsi="宋体" w:cs="宋体"/>
          <w:color w:val="auto"/>
          <w:highlight w:val="none"/>
        </w:rPr>
      </w:pPr>
      <w:r>
        <w:rPr>
          <w:rFonts w:hint="eastAsia" w:ascii="宋体" w:hAnsi="宋体" w:cs="宋体"/>
          <w:color w:val="auto"/>
          <w:sz w:val="21"/>
          <w:highlight w:val="none"/>
        </w:rPr>
        <w:t>五、开标</w:t>
      </w:r>
    </w:p>
    <w:p w14:paraId="00547345">
      <w:pPr>
        <w:pStyle w:val="21"/>
        <w:snapToGrid w:val="0"/>
        <w:spacing w:beforeLines="0" w:afterLines="0" w:line="440" w:lineRule="exact"/>
        <w:ind w:firstLine="420"/>
        <w:jc w:val="left"/>
        <w:rPr>
          <w:rFonts w:hint="eastAsia" w:hAnsi="宋体"/>
          <w:color w:val="auto"/>
          <w:sz w:val="21"/>
          <w:szCs w:val="21"/>
          <w:highlight w:val="none"/>
        </w:rPr>
      </w:pPr>
      <w:r>
        <w:rPr>
          <w:rFonts w:hint="eastAsia" w:hAnsi="宋体"/>
          <w:color w:val="auto"/>
          <w:sz w:val="21"/>
          <w:szCs w:val="21"/>
          <w:highlight w:val="none"/>
        </w:rPr>
        <w:t>招标人将在规定的时间和地点进行开标，投标人根据投标文件递交的截止时间前递交。投标人于投标截止时间之后</w:t>
      </w:r>
      <w:r>
        <w:rPr>
          <w:rFonts w:hint="eastAsia" w:hAnsi="宋体"/>
          <w:color w:val="auto"/>
          <w:sz w:val="21"/>
          <w:szCs w:val="21"/>
          <w:highlight w:val="none"/>
          <w:lang w:val="en-US" w:eastAsia="zh-CN"/>
        </w:rPr>
        <w:t>三十</w:t>
      </w:r>
      <w:r>
        <w:rPr>
          <w:rFonts w:hint="eastAsia" w:hAnsi="宋体"/>
          <w:color w:val="auto"/>
          <w:sz w:val="21"/>
          <w:szCs w:val="21"/>
          <w:highlight w:val="none"/>
        </w:rPr>
        <w:t>分钟内在“浙江海港投标管家”工具端—进入项目—开标—远程开标模块，点击“确认开标结果”按钮进行确认，如超时未确认，视作投标人已对开标结果确认无误。</w:t>
      </w:r>
    </w:p>
    <w:p w14:paraId="61A67F31">
      <w:pPr>
        <w:pStyle w:val="21"/>
        <w:snapToGrid w:val="0"/>
        <w:spacing w:beforeLines="0" w:afterLines="0" w:line="440" w:lineRule="exact"/>
        <w:ind w:firstLine="420"/>
        <w:jc w:val="left"/>
        <w:rPr>
          <w:rFonts w:hint="default" w:hAnsi="宋体"/>
          <w:color w:val="auto"/>
          <w:sz w:val="21"/>
          <w:szCs w:val="21"/>
          <w:highlight w:val="none"/>
        </w:rPr>
      </w:pPr>
      <w:r>
        <w:rPr>
          <w:rFonts w:hint="eastAsia" w:hAnsi="宋体"/>
          <w:color w:val="auto"/>
          <w:sz w:val="21"/>
          <w:szCs w:val="21"/>
          <w:highlight w:val="none"/>
        </w:rPr>
        <w:t>本项目采用两步开标法，第一阶段先开启各投标人投标文件中的“资审文件”及“商务技术标”，第二阶段待“资审文件”及“商务技术标”完成评审公布结果后，开启各投标人的“价格标”。</w:t>
      </w:r>
    </w:p>
    <w:p w14:paraId="37A7A6F5">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六、评标</w:t>
      </w:r>
    </w:p>
    <w:p w14:paraId="229A6A8F">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（一）组建评标委员会</w:t>
      </w:r>
    </w:p>
    <w:p w14:paraId="4963F943">
      <w:pPr>
        <w:widowControl/>
        <w:adjustRightInd w:val="0"/>
        <w:snapToGrid w:val="0"/>
        <w:ind w:firstLine="420"/>
        <w:jc w:val="left"/>
        <w:rPr>
          <w:rFonts w:ascii="宋体" w:hAnsi="宋体" w:cs="宋体"/>
          <w:color w:val="auto"/>
          <w:szCs w:val="21"/>
          <w:highlight w:val="none"/>
        </w:rPr>
      </w:pPr>
      <w:r>
        <w:rPr>
          <w:rFonts w:hint="eastAsia" w:ascii="宋体" w:hAnsi="宋体" w:cs="宋体"/>
          <w:color w:val="auto"/>
          <w:szCs w:val="21"/>
          <w:highlight w:val="none"/>
        </w:rPr>
        <w:t>本项目评标委员会由评审专家和招标人代表组成。</w:t>
      </w:r>
    </w:p>
    <w:p w14:paraId="4C4E552E">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（二）评标的方式</w:t>
      </w:r>
    </w:p>
    <w:p w14:paraId="5D23FD9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本项目采用不公开方式评标，评标的依据为招标文件、投标文件及其补充文件（若有）。</w:t>
      </w:r>
    </w:p>
    <w:p w14:paraId="41A19CAD">
      <w:pPr>
        <w:pStyle w:val="4"/>
        <w:adjustRightInd w:val="0"/>
        <w:snapToGrid w:val="0"/>
        <w:ind w:firstLine="422"/>
        <w:rPr>
          <w:rFonts w:ascii="宋体" w:hAnsi="宋体" w:cs="宋体"/>
          <w:color w:val="auto"/>
          <w:szCs w:val="21"/>
          <w:highlight w:val="none"/>
        </w:rPr>
      </w:pPr>
      <w:r>
        <w:rPr>
          <w:rFonts w:hint="eastAsia" w:ascii="宋体" w:hAnsi="宋体" w:cs="宋体"/>
          <w:color w:val="auto"/>
          <w:szCs w:val="21"/>
          <w:highlight w:val="none"/>
        </w:rPr>
        <w:t>（三）评标程序</w:t>
      </w:r>
    </w:p>
    <w:p w14:paraId="164BECF1">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1. 形式审查</w:t>
      </w:r>
    </w:p>
    <w:p w14:paraId="4A5217C1">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评标委员会对投标人的资格和投标文件的完整性、合法性等进行审查。</w:t>
      </w:r>
    </w:p>
    <w:p w14:paraId="44CD1100">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2. 实质审查与比较</w:t>
      </w:r>
    </w:p>
    <w:p w14:paraId="611E1544">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（1）评标委员会审查投标文件的实质性内容是否符合招标文件的实质性要求。</w:t>
      </w:r>
    </w:p>
    <w:p w14:paraId="67E854BC">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（2）评标委员会将根据投标人的投标文件进行审查、核对，如有疑问，将对投标人进行询标，投标人要向评标委员会澄清有关问题，并最终以书面形式进行答复。</w:t>
      </w:r>
    </w:p>
    <w:p w14:paraId="3C13E4D4">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投标人代表未到场或者拒绝澄清或者澄清的内容改变了投标文件的实质性内容的，评标委员会有权对该投标文件作出不利于投标人的评判。</w:t>
      </w:r>
    </w:p>
    <w:p w14:paraId="5C97D969">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（3）各投标人的商务、技术得分为所有评委的有效评分的算术平均数(计算保留两位小数)。</w:t>
      </w:r>
    </w:p>
    <w:p w14:paraId="186D8594">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（4）评标委员会根据本项目的评分标准计算各投标人的报价得分。</w:t>
      </w:r>
    </w:p>
    <w:p w14:paraId="76C73F61">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（5）评标委员会完成评标后，评委对各部分得分汇总，计算出本项目最终得分。评标委员会按评标原则推荐中标候选人同时起草评标报告。</w:t>
      </w:r>
    </w:p>
    <w:p w14:paraId="424E76E0">
      <w:pPr>
        <w:pStyle w:val="4"/>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（四）澄清问题的形式</w:t>
      </w:r>
    </w:p>
    <w:p w14:paraId="2BBC7B07">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采用书面形式，由其授权代表签字或盖章确认，并不得超出投标文件的范围或者改变投标文件的实质性内容。评标委员会不接受投标人主动提出的澄清、说明或补正。</w:t>
      </w:r>
    </w:p>
    <w:p w14:paraId="31B3E076">
      <w:pPr>
        <w:pStyle w:val="4"/>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（五）评标原则和评标办法</w:t>
      </w:r>
    </w:p>
    <w:p w14:paraId="26743E81">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1. 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6E90D0A">
      <w:pPr>
        <w:adjustRightInd w:val="0"/>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2. 评标办法。本项目评标办法是综合评分法，具体评标内容及评分标准等详见《第四章：评标办法及评分标准》。</w:t>
      </w:r>
    </w:p>
    <w:p w14:paraId="5698E058">
      <w:pPr>
        <w:pStyle w:val="4"/>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（六）评标过程的监控</w:t>
      </w:r>
    </w:p>
    <w:p w14:paraId="16DB773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投标人在评标过程中所进行的试图影响评标结果的不公正活动，可能导致其投标被拒绝。</w:t>
      </w:r>
    </w:p>
    <w:p w14:paraId="2BBFE3BE">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七、定标</w:t>
      </w:r>
    </w:p>
    <w:p w14:paraId="0BEFE92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评标结束后，评标结果在浙江省海港集团、宁波舟山港集团电子招标采购平台网站上公示不少于3日。</w:t>
      </w:r>
    </w:p>
    <w:p w14:paraId="0ED0816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投标人对评标结果无异议的，招标人将确定排名第一的中标候选人为中标人。如有投标人对评标结果提出质疑的，招标人可在质疑处理完毕后确定中标人。</w:t>
      </w:r>
    </w:p>
    <w:p w14:paraId="2C6FBD5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3. 招标人依法确定中标人后，将在浙江省海港集团、宁波舟山港集团电子招标采购平台发出《中标通知书》。</w:t>
      </w:r>
    </w:p>
    <w:p w14:paraId="1E537497">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八、合同授予</w:t>
      </w:r>
    </w:p>
    <w:p w14:paraId="24FA20C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 中标人须与</w:t>
      </w:r>
      <w:r>
        <w:rPr>
          <w:rFonts w:hint="eastAsia" w:ascii="宋体" w:hAnsi="宋体" w:cs="宋体"/>
          <w:bCs/>
          <w:color w:val="auto"/>
          <w:kern w:val="0"/>
          <w:szCs w:val="21"/>
          <w:highlight w:val="none"/>
        </w:rPr>
        <w:t>温州港南岳港务有限公司</w:t>
      </w:r>
      <w:r>
        <w:rPr>
          <w:rFonts w:hint="eastAsia" w:ascii="宋体" w:hAnsi="宋体" w:cs="宋体"/>
          <w:color w:val="auto"/>
          <w:szCs w:val="21"/>
          <w:highlight w:val="none"/>
        </w:rPr>
        <w:t>在《中标通知书》发出之日起30日内签订合同。同时对合同内容进行审查，如发现与招标结果和投标承诺内容不一致的，应予以纠正。</w:t>
      </w:r>
    </w:p>
    <w:p w14:paraId="295B2BF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 中标人拖延、拒签合同的，将被扣罚投标保证金并取消中标资格。</w:t>
      </w:r>
    </w:p>
    <w:p w14:paraId="69B04633">
      <w:pPr>
        <w:pStyle w:val="3"/>
        <w:adjustRightInd w:val="0"/>
        <w:spacing w:before="0" w:beforeLines="0"/>
        <w:rPr>
          <w:rFonts w:ascii="宋体" w:hAnsi="宋体" w:cs="宋体"/>
          <w:color w:val="auto"/>
          <w:highlight w:val="none"/>
        </w:rPr>
      </w:pPr>
      <w:r>
        <w:rPr>
          <w:rFonts w:hint="eastAsia" w:ascii="宋体" w:hAnsi="宋体" w:cs="宋体"/>
          <w:color w:val="auto"/>
          <w:sz w:val="21"/>
          <w:highlight w:val="none"/>
        </w:rPr>
        <w:t>九、履约保证金</w:t>
      </w:r>
    </w:p>
    <w:p w14:paraId="69C0EEF9">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1.中标人在收到中标通知书后，签订合同前须向招标人提交人民币合同总价5%的履约保证金。</w:t>
      </w:r>
    </w:p>
    <w:p w14:paraId="61C7119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2.履约保证金用于补偿招标人因中标人不能完成其合同义务而蒙受的损失。</w:t>
      </w:r>
    </w:p>
    <w:p w14:paraId="44018A6E">
      <w:pPr>
        <w:adjustRightInd w:val="0"/>
        <w:snapToGrid w:val="0"/>
        <w:ind w:firstLine="420"/>
        <w:jc w:val="left"/>
        <w:rPr>
          <w:rFonts w:ascii="宋体" w:hAnsi="宋体" w:cs="宋体"/>
          <w:color w:val="auto"/>
          <w:szCs w:val="21"/>
          <w:highlight w:val="none"/>
        </w:rPr>
      </w:pPr>
      <w:r>
        <w:rPr>
          <w:rFonts w:hint="eastAsia" w:ascii="宋体" w:hAnsi="宋体" w:cs="宋体"/>
          <w:color w:val="auto"/>
          <w:szCs w:val="21"/>
          <w:highlight w:val="none"/>
        </w:rPr>
        <w:t>3.履约保证金自合同签订之日起至合同履行完毕之日止有效。有效期满后，</w:t>
      </w:r>
      <w:bookmarkStart w:id="33" w:name="_Toc10133"/>
      <w:r>
        <w:rPr>
          <w:rFonts w:hint="eastAsia" w:ascii="宋体" w:hAnsi="宋体" w:cs="宋体"/>
          <w:color w:val="auto"/>
          <w:szCs w:val="21"/>
          <w:highlight w:val="none"/>
        </w:rPr>
        <w:t>履约保证金在验收合格后，并收到中标人开具的收据后，招标人在30个日历天内无息向中标人退还。</w:t>
      </w:r>
    </w:p>
    <w:p w14:paraId="25766CBE">
      <w:pPr>
        <w:pStyle w:val="2"/>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第</w:t>
      </w:r>
      <w:bookmarkStart w:id="34" w:name="_Toc1645"/>
      <w:r>
        <w:rPr>
          <w:rFonts w:hint="eastAsia" w:ascii="宋体" w:hAnsi="宋体" w:cs="宋体"/>
          <w:color w:val="auto"/>
          <w:highlight w:val="none"/>
        </w:rPr>
        <w:t>四章  评标办法及评分标准</w:t>
      </w:r>
      <w:bookmarkEnd w:id="33"/>
    </w:p>
    <w:p w14:paraId="76279125">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一、总则</w:t>
      </w:r>
    </w:p>
    <w:p w14:paraId="04350F6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温州港南岳港务有限公司煤炭、铁矿制样设备采购项目采取公开招标形式选择投标人。为保证招标“公开、公平、公正”，根据相关法律、法规，结合本项目的特点，制定本评标办法。</w:t>
      </w:r>
    </w:p>
    <w:p w14:paraId="6C3158B6">
      <w:pPr>
        <w:pStyle w:val="3"/>
        <w:adjustRightInd w:val="0"/>
        <w:spacing w:before="0" w:beforeLines="0"/>
        <w:rPr>
          <w:rFonts w:ascii="宋体" w:hAnsi="宋体" w:cs="宋体"/>
          <w:color w:val="auto"/>
          <w:sz w:val="21"/>
          <w:highlight w:val="none"/>
        </w:rPr>
      </w:pPr>
      <w:r>
        <w:rPr>
          <w:rFonts w:hint="eastAsia" w:ascii="宋体" w:hAnsi="宋体" w:cs="宋体"/>
          <w:color w:val="auto"/>
          <w:sz w:val="21"/>
          <w:highlight w:val="none"/>
        </w:rPr>
        <w:t>二、评标组织</w:t>
      </w:r>
    </w:p>
    <w:p w14:paraId="20A08D3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评标委员会：根据项目的内容特点按照相关规定组建评标委员会。评标委员会由招标人代表、技术及经济方面专家等有关人员组成。</w:t>
      </w:r>
    </w:p>
    <w:p w14:paraId="22D4263A">
      <w:pPr>
        <w:pStyle w:val="3"/>
        <w:spacing w:before="156"/>
        <w:rPr>
          <w:rFonts w:ascii="宋体" w:hAnsi="宋体" w:cs="宋体"/>
          <w:color w:val="auto"/>
          <w:highlight w:val="none"/>
        </w:rPr>
      </w:pPr>
      <w:r>
        <w:rPr>
          <w:rFonts w:hint="eastAsia" w:ascii="宋体" w:hAnsi="宋体" w:cs="宋体"/>
          <w:color w:val="auto"/>
          <w:sz w:val="21"/>
          <w:highlight w:val="none"/>
        </w:rPr>
        <w:t>三、评标程序</w:t>
      </w:r>
    </w:p>
    <w:p w14:paraId="1BABA5DC">
      <w:pPr>
        <w:adjustRightInd w:val="0"/>
        <w:ind w:firstLine="420"/>
        <w:rPr>
          <w:rFonts w:hint="eastAsia"/>
          <w:b/>
          <w:bCs/>
          <w:color w:val="auto"/>
          <w:highlight w:val="none"/>
        </w:rPr>
      </w:pPr>
      <w:r>
        <w:rPr>
          <w:rFonts w:hint="eastAsia"/>
          <w:b/>
          <w:bCs/>
          <w:color w:val="auto"/>
          <w:highlight w:val="none"/>
        </w:rPr>
        <w:t>1. 第一阶段评审</w:t>
      </w:r>
    </w:p>
    <w:p w14:paraId="05F2F373">
      <w:pPr>
        <w:adjustRightInd w:val="0"/>
        <w:ind w:firstLine="420"/>
        <w:rPr>
          <w:rFonts w:hint="eastAsia"/>
          <w:b/>
          <w:bCs/>
          <w:color w:val="auto"/>
          <w:highlight w:val="none"/>
        </w:rPr>
      </w:pPr>
      <w:r>
        <w:rPr>
          <w:rFonts w:hint="eastAsia"/>
          <w:b/>
          <w:bCs/>
          <w:color w:val="auto"/>
          <w:highlight w:val="none"/>
        </w:rPr>
        <w:t>1.1 资审文件及商务技术标初步审查</w:t>
      </w:r>
    </w:p>
    <w:p w14:paraId="23EEDDD1">
      <w:pPr>
        <w:adjustRightInd w:val="0"/>
        <w:ind w:firstLine="420"/>
        <w:rPr>
          <w:rFonts w:hint="eastAsia"/>
          <w:color w:val="auto"/>
          <w:highlight w:val="none"/>
        </w:rPr>
      </w:pPr>
      <w:r>
        <w:rPr>
          <w:rFonts w:hint="eastAsia"/>
          <w:color w:val="auto"/>
          <w:highlight w:val="none"/>
        </w:rPr>
        <w:t>初审分为资格审查和初步评审。</w:t>
      </w:r>
    </w:p>
    <w:p w14:paraId="22AAD2E2">
      <w:pPr>
        <w:adjustRightInd w:val="0"/>
        <w:ind w:firstLine="420"/>
        <w:rPr>
          <w:rFonts w:hint="eastAsia"/>
          <w:color w:val="auto"/>
          <w:highlight w:val="none"/>
        </w:rPr>
      </w:pPr>
      <w:r>
        <w:rPr>
          <w:rFonts w:hint="eastAsia"/>
          <w:color w:val="auto"/>
          <w:highlight w:val="none"/>
        </w:rPr>
        <w:t>资格审查。依据法律法规和招标文件的规定，对投标文件中的资格证明等进行审查，以确定投标供应商是否具备投标资格。</w:t>
      </w:r>
    </w:p>
    <w:p w14:paraId="6150EC5E">
      <w:pPr>
        <w:adjustRightInd w:val="0"/>
        <w:ind w:firstLine="420"/>
        <w:rPr>
          <w:rFonts w:hint="eastAsia"/>
          <w:color w:val="auto"/>
          <w:highlight w:val="none"/>
        </w:rPr>
      </w:pPr>
      <w:r>
        <w:rPr>
          <w:rFonts w:hint="eastAsia"/>
          <w:color w:val="auto"/>
          <w:highlight w:val="none"/>
        </w:rPr>
        <w:t>初步评审。依据招标文件的规定，从投标文件的有效性、完整性、投标保证金和对招标文件的响应程度进行审查， 以确定是否对招标文件的实质性要求作出响应。</w:t>
      </w:r>
    </w:p>
    <w:p w14:paraId="11808BE3">
      <w:pPr>
        <w:adjustRightInd w:val="0"/>
        <w:ind w:firstLine="420"/>
        <w:rPr>
          <w:rFonts w:hint="eastAsia"/>
          <w:color w:val="auto"/>
          <w:highlight w:val="none"/>
        </w:rPr>
      </w:pPr>
      <w:r>
        <w:rPr>
          <w:rFonts w:hint="eastAsia"/>
          <w:color w:val="auto"/>
          <w:highlight w:val="none"/>
        </w:rPr>
        <w:t>评标委员会在评审过程中按规定否决不合格投标或界定为无效标后，因有效投标人不足三家的，由评标委员会认定本项目剩余有效投标是否具有竞争性，评标委员会认为有效投标仍然具有竞争性的，对有效投标进行评审；如认为没有竞争性的，招标人将依法重新招标。</w:t>
      </w:r>
    </w:p>
    <w:p w14:paraId="71D5BB2F">
      <w:pPr>
        <w:adjustRightInd w:val="0"/>
        <w:ind w:firstLine="420"/>
        <w:rPr>
          <w:rFonts w:hint="eastAsia"/>
          <w:b/>
          <w:bCs/>
          <w:color w:val="auto"/>
          <w:highlight w:val="none"/>
        </w:rPr>
      </w:pPr>
      <w:r>
        <w:rPr>
          <w:rFonts w:hint="eastAsia"/>
          <w:b/>
          <w:bCs/>
          <w:color w:val="auto"/>
          <w:highlight w:val="none"/>
        </w:rPr>
        <w:t>1.2 商务技术标详细评审</w:t>
      </w:r>
    </w:p>
    <w:p w14:paraId="358C4822">
      <w:pPr>
        <w:adjustRightInd w:val="0"/>
        <w:ind w:firstLine="420"/>
        <w:rPr>
          <w:rFonts w:hint="eastAsia"/>
          <w:color w:val="auto"/>
          <w:highlight w:val="none"/>
        </w:rPr>
      </w:pPr>
      <w:r>
        <w:rPr>
          <w:rFonts w:hint="eastAsia"/>
          <w:color w:val="auto"/>
          <w:highlight w:val="none"/>
        </w:rPr>
        <w:t>评标委员会对初步评审合格的投标文件，依照本办法对技术、商务内容作进一步评审、比较。评标委员会成员经过阅标、审标和询标，对各投标人进行综合评分。</w:t>
      </w:r>
    </w:p>
    <w:p w14:paraId="49FC2416">
      <w:pPr>
        <w:adjustRightInd w:val="0"/>
        <w:ind w:firstLine="420"/>
        <w:rPr>
          <w:rFonts w:hint="eastAsia"/>
          <w:color w:val="auto"/>
          <w:highlight w:val="none"/>
        </w:rPr>
      </w:pPr>
      <w:r>
        <w:rPr>
          <w:rFonts w:hint="eastAsia"/>
          <w:color w:val="auto"/>
          <w:highlight w:val="none"/>
        </w:rPr>
        <w:t>详细评审即以招标文件为依据，对所有实质上响应的投标分别从“商务”、“技术”两个方面进行评审并按照评分标准进行打分。</w:t>
      </w:r>
    </w:p>
    <w:p w14:paraId="0D0F58C8">
      <w:pPr>
        <w:adjustRightInd w:val="0"/>
        <w:ind w:firstLine="420"/>
        <w:rPr>
          <w:rFonts w:hint="eastAsia"/>
          <w:color w:val="auto"/>
          <w:highlight w:val="none"/>
        </w:rPr>
      </w:pPr>
      <w:r>
        <w:rPr>
          <w:rFonts w:hint="eastAsia"/>
          <w:color w:val="auto"/>
          <w:highlight w:val="none"/>
        </w:rPr>
        <w:t>评委评分参照本部分附表：评分标准表。由各评标委员会成员评分，根据投标人的投标文件，进行独立评分。评委评分采用记名方式，取算术平均分（小数点后保留二位小数）。</w:t>
      </w:r>
    </w:p>
    <w:p w14:paraId="3CFA1E36">
      <w:pPr>
        <w:adjustRightInd w:val="0"/>
        <w:ind w:firstLine="420"/>
        <w:rPr>
          <w:rFonts w:hint="eastAsia"/>
          <w:color w:val="auto"/>
          <w:highlight w:val="none"/>
        </w:rPr>
      </w:pPr>
      <w:r>
        <w:rPr>
          <w:rFonts w:hint="eastAsia"/>
          <w:color w:val="auto"/>
          <w:highlight w:val="none"/>
        </w:rPr>
        <w:t>如有招标文件未规定的情况出现，则由评标委员会集体讨论决定。</w:t>
      </w:r>
    </w:p>
    <w:p w14:paraId="40ADAD22">
      <w:pPr>
        <w:adjustRightInd w:val="0"/>
        <w:ind w:firstLine="420"/>
        <w:rPr>
          <w:rFonts w:hint="eastAsia"/>
          <w:b/>
          <w:bCs/>
          <w:color w:val="auto"/>
          <w:highlight w:val="none"/>
        </w:rPr>
      </w:pPr>
      <w:r>
        <w:rPr>
          <w:rFonts w:hint="eastAsia"/>
          <w:b/>
          <w:bCs/>
          <w:color w:val="auto"/>
          <w:highlight w:val="none"/>
        </w:rPr>
        <w:t>2. 第二阶段评审</w:t>
      </w:r>
    </w:p>
    <w:p w14:paraId="7BD43F78">
      <w:pPr>
        <w:adjustRightInd w:val="0"/>
        <w:ind w:firstLine="420"/>
        <w:rPr>
          <w:rFonts w:hint="eastAsia"/>
          <w:b/>
          <w:bCs/>
          <w:color w:val="auto"/>
          <w:highlight w:val="none"/>
        </w:rPr>
      </w:pPr>
      <w:r>
        <w:rPr>
          <w:rFonts w:hint="eastAsia"/>
          <w:b/>
          <w:bCs/>
          <w:color w:val="auto"/>
          <w:highlight w:val="none"/>
        </w:rPr>
        <w:t>2.1 价格标初步评审</w:t>
      </w:r>
    </w:p>
    <w:p w14:paraId="177F7B51">
      <w:pPr>
        <w:adjustRightInd w:val="0"/>
        <w:ind w:firstLine="420"/>
        <w:rPr>
          <w:rFonts w:hint="eastAsia"/>
          <w:color w:val="auto"/>
          <w:highlight w:val="none"/>
        </w:rPr>
      </w:pPr>
      <w:r>
        <w:rPr>
          <w:rFonts w:hint="eastAsia"/>
          <w:color w:val="auto"/>
          <w:highlight w:val="none"/>
        </w:rPr>
        <w:t>依据招标文件的规定，从投标文件的有效性、完整性进行审查，以确定是否对招标文件的实质性要求作出响应。</w:t>
      </w:r>
    </w:p>
    <w:p w14:paraId="0A0A3F3B">
      <w:pPr>
        <w:adjustRightInd w:val="0"/>
        <w:ind w:firstLine="420"/>
        <w:rPr>
          <w:rFonts w:hint="eastAsia"/>
          <w:color w:val="auto"/>
          <w:highlight w:val="none"/>
        </w:rPr>
      </w:pPr>
      <w:r>
        <w:rPr>
          <w:rFonts w:hint="eastAsia"/>
          <w:color w:val="auto"/>
          <w:highlight w:val="none"/>
        </w:rPr>
        <w:t>评标委员会在评审过程中按规定否决不合格投标或界定为无效标后，因有效投标人不足三家的，由评标委员会认定本项目剩余有效投标是否具有竞争性，评标委员会认为有效投标仍然具有竞争性的，对有效投标进行评审；如认为没有竞争性的，招标人将重新招标。</w:t>
      </w:r>
    </w:p>
    <w:p w14:paraId="695DC2CE">
      <w:pPr>
        <w:adjustRightInd w:val="0"/>
        <w:ind w:firstLine="420"/>
        <w:rPr>
          <w:rFonts w:hint="eastAsia"/>
          <w:b/>
          <w:bCs/>
          <w:color w:val="auto"/>
          <w:highlight w:val="none"/>
        </w:rPr>
      </w:pPr>
      <w:r>
        <w:rPr>
          <w:rFonts w:hint="eastAsia"/>
          <w:b/>
          <w:bCs/>
          <w:color w:val="auto"/>
          <w:highlight w:val="none"/>
        </w:rPr>
        <w:t>2.2 价格标详细评审</w:t>
      </w:r>
    </w:p>
    <w:p w14:paraId="29CDC7B9">
      <w:pPr>
        <w:adjustRightInd w:val="0"/>
        <w:ind w:firstLine="420"/>
        <w:rPr>
          <w:rFonts w:hint="eastAsia"/>
          <w:b/>
          <w:bCs/>
          <w:color w:val="auto"/>
          <w:highlight w:val="none"/>
        </w:rPr>
      </w:pPr>
      <w:r>
        <w:rPr>
          <w:rFonts w:hint="eastAsia"/>
          <w:b/>
          <w:bCs/>
          <w:color w:val="auto"/>
          <w:highlight w:val="none"/>
        </w:rPr>
        <w:t>2.2.1 错误修正</w:t>
      </w:r>
    </w:p>
    <w:p w14:paraId="6B944546">
      <w:pPr>
        <w:adjustRightInd w:val="0"/>
        <w:ind w:firstLine="420"/>
        <w:rPr>
          <w:rFonts w:hint="eastAsia"/>
          <w:color w:val="auto"/>
          <w:highlight w:val="none"/>
        </w:rPr>
      </w:pPr>
      <w:r>
        <w:rPr>
          <w:rFonts w:hint="eastAsia"/>
          <w:color w:val="auto"/>
          <w:highlight w:val="none"/>
        </w:rPr>
        <w:t>投标文件如果出现计算或表达上的错误，修正错误的原则如下：</w:t>
      </w:r>
    </w:p>
    <w:p w14:paraId="4C2D7990">
      <w:pPr>
        <w:adjustRightInd w:val="0"/>
        <w:ind w:firstLine="420"/>
        <w:rPr>
          <w:rFonts w:hint="eastAsia"/>
          <w:color w:val="auto"/>
          <w:highlight w:val="none"/>
        </w:rPr>
      </w:pPr>
      <w:r>
        <w:rPr>
          <w:rFonts w:hint="eastAsia"/>
          <w:color w:val="auto"/>
          <w:highlight w:val="none"/>
        </w:rPr>
        <w:t>（1）投标文件的大写金额和小写金额不一致的，以大写金额为准；</w:t>
      </w:r>
    </w:p>
    <w:p w14:paraId="02468B7A">
      <w:pPr>
        <w:adjustRightInd w:val="0"/>
        <w:ind w:firstLine="420"/>
        <w:rPr>
          <w:rFonts w:hint="eastAsia"/>
          <w:color w:val="auto"/>
          <w:highlight w:val="none"/>
        </w:rPr>
      </w:pPr>
      <w:r>
        <w:rPr>
          <w:rFonts w:hint="eastAsia"/>
          <w:color w:val="auto"/>
          <w:highlight w:val="none"/>
        </w:rPr>
        <w:t>（2）总价金额与按单价汇总金额不一致的，以单价金额计算结果为准；</w:t>
      </w:r>
    </w:p>
    <w:p w14:paraId="34310CC1">
      <w:pPr>
        <w:adjustRightInd w:val="0"/>
        <w:ind w:firstLine="420"/>
        <w:rPr>
          <w:rFonts w:hint="eastAsia"/>
          <w:color w:val="auto"/>
          <w:highlight w:val="none"/>
        </w:rPr>
      </w:pPr>
      <w:r>
        <w:rPr>
          <w:rFonts w:hint="eastAsia"/>
          <w:color w:val="auto"/>
          <w:highlight w:val="none"/>
        </w:rPr>
        <w:t>（3）对不同文字文本投标文件的解释发生异议的，以中文文本为准；</w:t>
      </w:r>
    </w:p>
    <w:p w14:paraId="00CBE843">
      <w:pPr>
        <w:adjustRightInd w:val="0"/>
        <w:ind w:firstLine="420"/>
        <w:rPr>
          <w:rFonts w:hint="eastAsia"/>
          <w:color w:val="auto"/>
          <w:highlight w:val="none"/>
        </w:rPr>
      </w:pPr>
      <w:r>
        <w:rPr>
          <w:rFonts w:hint="eastAsia"/>
          <w:color w:val="auto"/>
          <w:highlight w:val="none"/>
        </w:rPr>
        <w:t>（4）投标文件中出现前后不一致的情况商务部分以商务标为准，技术部分以技术标为准。</w:t>
      </w:r>
    </w:p>
    <w:p w14:paraId="3EAAEE9D">
      <w:pPr>
        <w:adjustRightInd w:val="0"/>
        <w:ind w:firstLine="420"/>
        <w:rPr>
          <w:rFonts w:hint="eastAsia"/>
          <w:b/>
          <w:bCs/>
          <w:color w:val="auto"/>
          <w:highlight w:val="none"/>
        </w:rPr>
      </w:pPr>
      <w:r>
        <w:rPr>
          <w:rFonts w:hint="eastAsia"/>
          <w:b/>
          <w:bCs/>
          <w:color w:val="auto"/>
          <w:highlight w:val="none"/>
        </w:rPr>
        <w:t>按上述修正错误的原则及方法调整或修正投标文件的投标报价，投标人同意并签字确认后，调整后的投标报价对投标人具有约束作用。如果投标人不接受修正后的报价，则其投标将作为无效投标处理。</w:t>
      </w:r>
    </w:p>
    <w:p w14:paraId="24763ECF">
      <w:pPr>
        <w:adjustRightInd w:val="0"/>
        <w:ind w:firstLine="420"/>
        <w:rPr>
          <w:rFonts w:hint="eastAsia"/>
          <w:b/>
          <w:bCs/>
          <w:color w:val="auto"/>
          <w:highlight w:val="none"/>
        </w:rPr>
      </w:pPr>
      <w:r>
        <w:rPr>
          <w:rFonts w:hint="eastAsia"/>
          <w:b/>
          <w:bCs/>
          <w:color w:val="auto"/>
          <w:highlight w:val="none"/>
        </w:rPr>
        <w:t>2.2.2 价格调整的原则</w:t>
      </w:r>
    </w:p>
    <w:p w14:paraId="7C1E7450">
      <w:pPr>
        <w:adjustRightInd w:val="0"/>
        <w:ind w:firstLine="420"/>
        <w:rPr>
          <w:rFonts w:hint="eastAsia"/>
          <w:color w:val="auto"/>
          <w:highlight w:val="none"/>
        </w:rPr>
      </w:pPr>
      <w:r>
        <w:rPr>
          <w:rFonts w:hint="eastAsia"/>
          <w:color w:val="auto"/>
          <w:highlight w:val="none"/>
        </w:rPr>
        <w:t>（1）投标人的报价必须包含本次招标范围内所有内容。</w:t>
      </w:r>
    </w:p>
    <w:p w14:paraId="476078FF">
      <w:pPr>
        <w:adjustRightInd w:val="0"/>
        <w:ind w:firstLine="420"/>
        <w:rPr>
          <w:rFonts w:hint="eastAsia"/>
          <w:color w:val="auto"/>
          <w:highlight w:val="none"/>
        </w:rPr>
      </w:pPr>
      <w:r>
        <w:rPr>
          <w:rFonts w:hint="eastAsia"/>
          <w:color w:val="auto"/>
          <w:highlight w:val="none"/>
        </w:rP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35880331">
      <w:pPr>
        <w:adjustRightInd w:val="0"/>
        <w:ind w:firstLine="420"/>
        <w:rPr>
          <w:rFonts w:hint="eastAsia"/>
          <w:color w:val="auto"/>
          <w:highlight w:val="none"/>
        </w:rPr>
      </w:pPr>
      <w:r>
        <w:rPr>
          <w:rFonts w:hint="eastAsia"/>
          <w:color w:val="auto"/>
          <w:highlight w:val="none"/>
        </w:rPr>
        <w:t>（3）如投标人的报价包含了招标范围之外的内容，则投标价格不予调整。但在签订合同时，超出部分设备及相应价格应予以剔除。</w:t>
      </w:r>
    </w:p>
    <w:p w14:paraId="3FD3F9E8">
      <w:pPr>
        <w:adjustRightInd w:val="0"/>
        <w:ind w:firstLine="420"/>
        <w:rPr>
          <w:rFonts w:hint="eastAsia"/>
          <w:color w:val="auto"/>
          <w:highlight w:val="none"/>
        </w:rPr>
      </w:pPr>
      <w:r>
        <w:rPr>
          <w:rFonts w:hint="eastAsia"/>
          <w:color w:val="auto"/>
          <w:highlight w:val="none"/>
        </w:rPr>
        <w:t>（4）如果投标人不接受上述调整原则，则投标文件作无效标处理。</w:t>
      </w:r>
    </w:p>
    <w:p w14:paraId="72F762EE">
      <w:pPr>
        <w:adjustRightInd w:val="0"/>
        <w:ind w:firstLine="420"/>
        <w:rPr>
          <w:rFonts w:hint="eastAsia"/>
          <w:color w:val="auto"/>
          <w:highlight w:val="none"/>
        </w:rPr>
      </w:pPr>
      <w:r>
        <w:rPr>
          <w:rFonts w:hint="eastAsia"/>
          <w:color w:val="auto"/>
          <w:highlight w:val="none"/>
        </w:rPr>
        <w:t>（5）调整后的价格作为投标人的评标价，按照相应的价格评分方式评分。</w:t>
      </w:r>
    </w:p>
    <w:p w14:paraId="3E297D1F">
      <w:pPr>
        <w:adjustRightInd w:val="0"/>
        <w:ind w:firstLine="420"/>
        <w:rPr>
          <w:rFonts w:hint="eastAsia"/>
          <w:b/>
          <w:bCs/>
          <w:color w:val="auto"/>
          <w:highlight w:val="none"/>
        </w:rPr>
      </w:pPr>
      <w:r>
        <w:rPr>
          <w:rFonts w:hint="eastAsia"/>
          <w:b/>
          <w:bCs/>
          <w:color w:val="auto"/>
          <w:highlight w:val="none"/>
        </w:rPr>
        <w:t>2.2.3 价格标按“评分标准”的要求进行评议，计算价格得分，并由全体评委签字确认 （计算结果保留二位小数，第三位四舍五入）。</w:t>
      </w:r>
    </w:p>
    <w:p w14:paraId="64258C85">
      <w:pPr>
        <w:adjustRightInd w:val="0"/>
        <w:ind w:firstLine="420"/>
        <w:rPr>
          <w:rFonts w:hint="eastAsia"/>
          <w:b/>
          <w:bCs/>
          <w:color w:val="auto"/>
          <w:highlight w:val="none"/>
        </w:rPr>
      </w:pPr>
      <w:r>
        <w:rPr>
          <w:rFonts w:hint="eastAsia"/>
          <w:b/>
          <w:bCs/>
          <w:color w:val="auto"/>
          <w:highlight w:val="none"/>
        </w:rPr>
        <w:t>3. 澄清问题</w:t>
      </w:r>
    </w:p>
    <w:p w14:paraId="412972B3">
      <w:pPr>
        <w:adjustRightInd w:val="0"/>
        <w:ind w:firstLine="420"/>
        <w:rPr>
          <w:rFonts w:hint="eastAsia"/>
          <w:color w:val="auto"/>
          <w:highlight w:val="none"/>
        </w:rPr>
      </w:pPr>
      <w:r>
        <w:rPr>
          <w:rFonts w:hint="eastAsia"/>
          <w:color w:val="auto"/>
          <w:highlight w:val="none"/>
        </w:rP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40010DBA">
      <w:pPr>
        <w:adjustRightInd w:val="0"/>
        <w:ind w:firstLine="420"/>
        <w:rPr>
          <w:rFonts w:hint="eastAsia"/>
          <w:b/>
          <w:bCs/>
          <w:color w:val="auto"/>
          <w:highlight w:val="none"/>
        </w:rPr>
      </w:pPr>
      <w:r>
        <w:rPr>
          <w:rFonts w:hint="eastAsia"/>
          <w:b/>
          <w:bCs/>
          <w:color w:val="auto"/>
          <w:highlight w:val="none"/>
        </w:rPr>
        <w:t>4. 中标原则</w:t>
      </w:r>
    </w:p>
    <w:p w14:paraId="343362D5">
      <w:pPr>
        <w:adjustRightInd w:val="0"/>
        <w:ind w:firstLine="420"/>
        <w:rPr>
          <w:rFonts w:hint="eastAsia"/>
          <w:b/>
          <w:bCs/>
          <w:color w:val="auto"/>
          <w:highlight w:val="none"/>
        </w:rPr>
      </w:pPr>
      <w:r>
        <w:rPr>
          <w:rFonts w:hint="eastAsia"/>
          <w:b/>
          <w:bCs/>
          <w:color w:val="auto"/>
          <w:highlight w:val="none"/>
        </w:rPr>
        <w:t>评标委员会根据各投标人的综合得分高低排定顺序，推荐综合得分最高的投标人为第一中标候选人；综合得分第二的投标人为第二中标候选人。如投标人的综合得分相同，则投标价低者优先；如投标价也相同，则由</w:t>
      </w:r>
      <w:r>
        <w:rPr>
          <w:rFonts w:hint="eastAsia"/>
          <w:b/>
          <w:bCs/>
          <w:color w:val="auto"/>
          <w:highlight w:val="none"/>
          <w:lang w:val="en-US" w:eastAsia="zh-CN"/>
        </w:rPr>
        <w:t>招</w:t>
      </w:r>
      <w:r>
        <w:rPr>
          <w:rFonts w:hint="eastAsia"/>
          <w:b/>
          <w:bCs/>
          <w:color w:val="auto"/>
          <w:highlight w:val="none"/>
        </w:rPr>
        <w:t>标人抽签决定。</w:t>
      </w:r>
    </w:p>
    <w:p w14:paraId="333B3CC8">
      <w:pPr>
        <w:adjustRightInd w:val="0"/>
        <w:ind w:firstLine="420"/>
        <w:rPr>
          <w:rFonts w:hint="eastAsia"/>
          <w:b/>
          <w:bCs/>
          <w:color w:val="auto"/>
          <w:highlight w:val="none"/>
        </w:rPr>
      </w:pPr>
      <w:r>
        <w:rPr>
          <w:rFonts w:hint="eastAsia"/>
          <w:b/>
          <w:bCs/>
          <w:color w:val="auto"/>
          <w:highlight w:val="none"/>
        </w:rPr>
        <w:t>5. 中标结果</w:t>
      </w:r>
    </w:p>
    <w:p w14:paraId="353F9B02">
      <w:pPr>
        <w:adjustRightInd w:val="0"/>
        <w:ind w:firstLine="420"/>
        <w:rPr>
          <w:rFonts w:hint="eastAsia"/>
          <w:color w:val="auto"/>
          <w:highlight w:val="none"/>
        </w:rPr>
      </w:pPr>
      <w:r>
        <w:rPr>
          <w:rFonts w:hint="eastAsia"/>
          <w:color w:val="auto"/>
          <w:highlight w:val="none"/>
        </w:rPr>
        <w:t>招标人将中标结果在浙江省海港集团、宁波舟山港集团电子招标采购平台上公示，根据公示和决标结果，向中标人发出中标通知书。</w:t>
      </w:r>
    </w:p>
    <w:p w14:paraId="58D5A738">
      <w:pPr>
        <w:adjustRightInd w:val="0"/>
        <w:ind w:firstLine="420"/>
        <w:rPr>
          <w:color w:val="auto"/>
          <w:highlight w:val="none"/>
        </w:rPr>
      </w:pPr>
      <w:r>
        <w:rPr>
          <w:rFonts w:hint="eastAsia"/>
          <w:color w:val="auto"/>
          <w:highlight w:val="none"/>
        </w:rPr>
        <w:t>中标人如因自身原因放弃中标或因不可抗力不能履行合同或未按招标文件及投标文件承诺履行的，招标人可选择第二中标候选人为中标人或重新招标。</w:t>
      </w:r>
    </w:p>
    <w:p w14:paraId="7012CD94">
      <w:pPr>
        <w:pStyle w:val="3"/>
        <w:adjustRightInd w:val="0"/>
        <w:spacing w:before="0" w:beforeLines="0"/>
        <w:rPr>
          <w:rFonts w:ascii="宋体" w:hAnsi="宋体" w:cs="宋体"/>
          <w:color w:val="auto"/>
          <w:highlight w:val="none"/>
        </w:rPr>
      </w:pPr>
      <w:r>
        <w:rPr>
          <w:rFonts w:hint="eastAsia" w:ascii="宋体" w:hAnsi="宋体" w:cs="宋体"/>
          <w:color w:val="auto"/>
          <w:sz w:val="21"/>
          <w:highlight w:val="none"/>
        </w:rPr>
        <w:t>四、评分标准</w:t>
      </w:r>
      <w:bookmarkEnd w:id="34"/>
      <w:bookmarkStart w:id="35" w:name="_Toc317116871"/>
      <w:bookmarkStart w:id="36" w:name="_Toc16873"/>
    </w:p>
    <w:p w14:paraId="298DDDE4">
      <w:pPr>
        <w:adjustRightInd w:val="0"/>
        <w:snapToGrid w:val="0"/>
        <w:ind w:firstLine="42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本项目评审办法是综合评分法。</w:t>
      </w:r>
    </w:p>
    <w:p w14:paraId="24E70262">
      <w:pPr>
        <w:adjustRightInd w:val="0"/>
        <w:snapToGrid w:val="0"/>
        <w:ind w:firstLine="42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满分100分，综合评分包括商务技术和价格评分。</w:t>
      </w:r>
    </w:p>
    <w:p w14:paraId="648BC0E4">
      <w:pPr>
        <w:adjustRightInd w:val="0"/>
        <w:snapToGrid w:val="0"/>
        <w:ind w:firstLine="420"/>
        <w:rPr>
          <w:rFonts w:hint="eastAsia" w:ascii="宋体" w:hAnsi="宋体" w:eastAsia="宋体" w:cs="宋体"/>
          <w:b/>
          <w:bCs/>
          <w:color w:val="auto"/>
          <w:szCs w:val="21"/>
          <w:highlight w:val="none"/>
          <w:lang w:eastAsia="zh-CN"/>
        </w:rPr>
      </w:pPr>
      <w:r>
        <w:rPr>
          <w:rFonts w:hint="eastAsia" w:ascii="宋体" w:hAnsi="宋体" w:eastAsia="宋体" w:cs="宋体"/>
          <w:b w:val="0"/>
          <w:bCs w:val="0"/>
          <w:color w:val="auto"/>
          <w:szCs w:val="21"/>
          <w:highlight w:val="none"/>
        </w:rPr>
        <w:t>商务技术部分、价格部分评分，评标因素及标准详见附表</w:t>
      </w:r>
      <w:r>
        <w:rPr>
          <w:rFonts w:hint="eastAsia" w:ascii="宋体" w:hAnsi="宋体" w:eastAsia="宋体" w:cs="宋体"/>
          <w:b w:val="0"/>
          <w:bCs w:val="0"/>
          <w:color w:val="auto"/>
          <w:szCs w:val="21"/>
          <w:highlight w:val="none"/>
          <w:lang w:eastAsia="zh-CN"/>
        </w:rPr>
        <w:t>。</w:t>
      </w:r>
    </w:p>
    <w:p w14:paraId="45C16B1A">
      <w:pPr>
        <w:adjustRightInd w:val="0"/>
        <w:snapToGrid w:val="0"/>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第一阶段评审</w:t>
      </w:r>
    </w:p>
    <w:p w14:paraId="7E6B0ADB">
      <w:pPr>
        <w:adjustRightInd w:val="0"/>
        <w:snapToGrid w:val="0"/>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1、商务技术分20分</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525"/>
        <w:gridCol w:w="823"/>
        <w:gridCol w:w="5227"/>
      </w:tblGrid>
      <w:tr w14:paraId="0265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449" w:type="pct"/>
            <w:gridSpan w:val="2"/>
            <w:vAlign w:val="center"/>
          </w:tcPr>
          <w:p w14:paraId="2D3B77AB">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评分因素</w:t>
            </w:r>
          </w:p>
        </w:tc>
        <w:tc>
          <w:tcPr>
            <w:tcW w:w="483" w:type="pct"/>
            <w:vAlign w:val="center"/>
          </w:tcPr>
          <w:p w14:paraId="6D1307EB">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分值</w:t>
            </w:r>
          </w:p>
        </w:tc>
        <w:tc>
          <w:tcPr>
            <w:tcW w:w="3067" w:type="pct"/>
            <w:vAlign w:val="center"/>
          </w:tcPr>
          <w:p w14:paraId="3C43C1EA">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评分标准说明</w:t>
            </w:r>
          </w:p>
        </w:tc>
      </w:tr>
      <w:tr w14:paraId="39E7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4" w:type="pct"/>
            <w:vMerge w:val="restart"/>
            <w:vAlign w:val="center"/>
          </w:tcPr>
          <w:p w14:paraId="08621D4D">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商务资信及技术部分20分</w:t>
            </w:r>
          </w:p>
        </w:tc>
        <w:tc>
          <w:tcPr>
            <w:tcW w:w="895" w:type="pct"/>
            <w:vAlign w:val="center"/>
          </w:tcPr>
          <w:p w14:paraId="1E472B8F">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设备</w:t>
            </w:r>
            <w:r>
              <w:rPr>
                <w:rFonts w:hint="eastAsia" w:ascii="宋体" w:hAnsi="宋体" w:cs="宋体"/>
                <w:color w:val="auto"/>
                <w:szCs w:val="21"/>
                <w:highlight w:val="none"/>
                <w:lang w:val="en-US" w:eastAsia="zh-CN"/>
              </w:rPr>
              <w:t>性能</w:t>
            </w:r>
            <w:r>
              <w:rPr>
                <w:rFonts w:hint="eastAsia" w:ascii="宋体" w:hAnsi="宋体" w:cs="宋体"/>
                <w:color w:val="auto"/>
                <w:szCs w:val="21"/>
                <w:highlight w:val="none"/>
              </w:rPr>
              <w:t>参数</w:t>
            </w:r>
          </w:p>
        </w:tc>
        <w:tc>
          <w:tcPr>
            <w:tcW w:w="483" w:type="pct"/>
            <w:vAlign w:val="center"/>
          </w:tcPr>
          <w:p w14:paraId="3B403C95">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3067" w:type="pct"/>
            <w:vAlign w:val="center"/>
          </w:tcPr>
          <w:p w14:paraId="176BEBBD">
            <w:pPr>
              <w:adjustRightInd w:val="0"/>
              <w:snapToGrid w:val="0"/>
              <w:spacing w:before="156" w:beforeLines="50"/>
              <w:ind w:firstLine="0" w:firstLineChars="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根据投标人提供的投标产品的总体性能、技术参数、制作工艺、配置情况等进行横向比较，酌情评分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优（4-</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]分：良（2-4]分：一般（0-2]分</w:t>
            </w:r>
            <w:r>
              <w:rPr>
                <w:rFonts w:hint="eastAsia" w:ascii="宋体" w:hAnsi="宋体" w:eastAsia="宋体" w:cs="宋体"/>
                <w:bCs/>
                <w:color w:val="auto"/>
                <w:szCs w:val="21"/>
                <w:highlight w:val="none"/>
                <w:lang w:eastAsia="zh-CN"/>
              </w:rPr>
              <w:t>。</w:t>
            </w:r>
          </w:p>
        </w:tc>
      </w:tr>
      <w:tr w14:paraId="48E2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4" w:type="pct"/>
            <w:vMerge w:val="continue"/>
            <w:vAlign w:val="center"/>
          </w:tcPr>
          <w:p w14:paraId="72928AA0">
            <w:pPr>
              <w:adjustRightInd w:val="0"/>
              <w:snapToGrid w:val="0"/>
              <w:spacing w:before="156" w:beforeLines="50"/>
              <w:ind w:firstLine="0" w:firstLineChars="0"/>
              <w:jc w:val="center"/>
              <w:rPr>
                <w:rFonts w:hint="eastAsia" w:ascii="宋体" w:hAnsi="宋体" w:cs="宋体"/>
                <w:color w:val="auto"/>
                <w:szCs w:val="21"/>
                <w:highlight w:val="none"/>
              </w:rPr>
            </w:pPr>
          </w:p>
        </w:tc>
        <w:tc>
          <w:tcPr>
            <w:tcW w:w="895" w:type="pct"/>
            <w:vAlign w:val="center"/>
          </w:tcPr>
          <w:p w14:paraId="1292EF91">
            <w:pPr>
              <w:adjustRightInd w:val="0"/>
              <w:snapToGrid w:val="0"/>
              <w:spacing w:before="156" w:beforeLines="5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结构</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制造工艺</w:t>
            </w:r>
          </w:p>
        </w:tc>
        <w:tc>
          <w:tcPr>
            <w:tcW w:w="483" w:type="pct"/>
            <w:vAlign w:val="center"/>
          </w:tcPr>
          <w:p w14:paraId="1169891D">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3067" w:type="pct"/>
            <w:vAlign w:val="center"/>
          </w:tcPr>
          <w:p w14:paraId="3425287D">
            <w:pPr>
              <w:adjustRightInd w:val="0"/>
              <w:snapToGrid w:val="0"/>
              <w:spacing w:before="156" w:beforeLines="50"/>
              <w:ind w:firstLine="0" w:firstLineChars="0"/>
              <w:rPr>
                <w:rFonts w:hint="eastAsia" w:ascii="宋体" w:hAnsi="宋体" w:cs="宋体"/>
                <w:bCs/>
                <w:color w:val="auto"/>
                <w:szCs w:val="21"/>
                <w:highlight w:val="none"/>
              </w:rPr>
            </w:pPr>
            <w:r>
              <w:rPr>
                <w:rFonts w:hint="eastAsia" w:ascii="宋体" w:hAnsi="宋体" w:eastAsia="宋体" w:cs="宋体"/>
                <w:bCs/>
                <w:color w:val="auto"/>
                <w:szCs w:val="21"/>
                <w:highlight w:val="none"/>
              </w:rPr>
              <w:t>根据投标人提供的投标产品</w:t>
            </w:r>
            <w:r>
              <w:rPr>
                <w:rFonts w:hint="eastAsia" w:ascii="宋体" w:hAnsi="宋体" w:eastAsia="宋体" w:cs="宋体"/>
                <w:bCs/>
                <w:color w:val="auto"/>
                <w:szCs w:val="21"/>
                <w:highlight w:val="none"/>
                <w:lang w:val="en-US" w:eastAsia="zh-CN"/>
              </w:rPr>
              <w:t>的</w:t>
            </w:r>
            <w:r>
              <w:rPr>
                <w:rFonts w:hint="eastAsia" w:ascii="宋体" w:hAnsi="宋体" w:eastAsia="宋体" w:cs="宋体"/>
                <w:bCs/>
                <w:color w:val="auto"/>
                <w:szCs w:val="21"/>
                <w:highlight w:val="none"/>
              </w:rPr>
              <w:t>结构及制造工艺</w:t>
            </w:r>
            <w:r>
              <w:rPr>
                <w:rFonts w:hint="eastAsia" w:ascii="宋体" w:hAnsi="宋体" w:eastAsia="宋体" w:cs="宋体"/>
                <w:bCs/>
                <w:color w:val="auto"/>
                <w:szCs w:val="21"/>
                <w:highlight w:val="none"/>
                <w:lang w:val="en-US" w:eastAsia="zh-CN"/>
              </w:rPr>
              <w:t>等</w:t>
            </w:r>
            <w:r>
              <w:rPr>
                <w:rFonts w:hint="eastAsia" w:ascii="宋体" w:hAnsi="宋体" w:eastAsia="宋体" w:cs="宋体"/>
                <w:bCs/>
                <w:color w:val="auto"/>
                <w:szCs w:val="21"/>
                <w:highlight w:val="none"/>
              </w:rPr>
              <w:t>进行横向比较，酌情评分：优（</w:t>
            </w:r>
            <w:r>
              <w:rPr>
                <w:rFonts w:hint="eastAsia" w:ascii="宋体" w:hAnsi="宋体" w:eastAsia="宋体" w:cs="宋体"/>
                <w:bCs/>
                <w:color w:val="auto"/>
                <w:szCs w:val="21"/>
                <w:highlight w:val="none"/>
                <w:lang w:val="en-US" w:eastAsia="zh-CN"/>
              </w:rPr>
              <w:t>2-3</w:t>
            </w:r>
            <w:r>
              <w:rPr>
                <w:rFonts w:hint="eastAsia" w:ascii="宋体" w:hAnsi="宋体" w:eastAsia="宋体" w:cs="宋体"/>
                <w:bCs/>
                <w:color w:val="auto"/>
                <w:szCs w:val="21"/>
                <w:highlight w:val="none"/>
              </w:rPr>
              <w:t>]分：良（</w:t>
            </w:r>
            <w:r>
              <w:rPr>
                <w:rFonts w:hint="eastAsia" w:ascii="宋体" w:hAnsi="宋体" w:eastAsia="宋体" w:cs="宋体"/>
                <w:bCs/>
                <w:color w:val="auto"/>
                <w:szCs w:val="21"/>
                <w:highlight w:val="none"/>
                <w:lang w:val="en-US" w:eastAsia="zh-CN"/>
              </w:rPr>
              <w:t>1-2</w:t>
            </w:r>
            <w:r>
              <w:rPr>
                <w:rFonts w:hint="eastAsia" w:ascii="宋体" w:hAnsi="宋体" w:eastAsia="宋体" w:cs="宋体"/>
                <w:bCs/>
                <w:color w:val="auto"/>
                <w:szCs w:val="21"/>
                <w:highlight w:val="none"/>
              </w:rPr>
              <w:t>]分：一般（0-</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]分。</w:t>
            </w:r>
          </w:p>
        </w:tc>
      </w:tr>
      <w:tr w14:paraId="28FF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54" w:type="pct"/>
            <w:vMerge w:val="continue"/>
            <w:vAlign w:val="center"/>
          </w:tcPr>
          <w:p w14:paraId="6DF24318">
            <w:pPr>
              <w:adjustRightInd w:val="0"/>
              <w:snapToGrid w:val="0"/>
              <w:spacing w:before="156" w:beforeLines="50"/>
              <w:ind w:firstLine="0" w:firstLineChars="0"/>
              <w:jc w:val="center"/>
              <w:rPr>
                <w:rFonts w:ascii="宋体" w:hAnsi="宋体" w:cs="宋体"/>
                <w:color w:val="auto"/>
                <w:szCs w:val="21"/>
                <w:highlight w:val="none"/>
              </w:rPr>
            </w:pPr>
          </w:p>
        </w:tc>
        <w:tc>
          <w:tcPr>
            <w:tcW w:w="895" w:type="pct"/>
            <w:vAlign w:val="center"/>
          </w:tcPr>
          <w:p w14:paraId="05808ACD">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设备安装、调试、验收的方案和措施</w:t>
            </w:r>
          </w:p>
        </w:tc>
        <w:tc>
          <w:tcPr>
            <w:tcW w:w="483" w:type="pct"/>
            <w:vAlign w:val="center"/>
          </w:tcPr>
          <w:p w14:paraId="28D877A2">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4</w:t>
            </w:r>
          </w:p>
        </w:tc>
        <w:tc>
          <w:tcPr>
            <w:tcW w:w="3067" w:type="pct"/>
            <w:vAlign w:val="center"/>
          </w:tcPr>
          <w:p w14:paraId="6D76F948">
            <w:pPr>
              <w:adjustRightInd w:val="0"/>
              <w:snapToGrid w:val="0"/>
              <w:spacing w:before="156" w:beforeLines="50"/>
              <w:ind w:firstLine="0" w:firstLineChars="0"/>
              <w:rPr>
                <w:rFonts w:ascii="宋体" w:hAnsi="宋体" w:cs="宋体"/>
                <w:bCs/>
                <w:color w:val="auto"/>
                <w:szCs w:val="21"/>
                <w:highlight w:val="none"/>
              </w:rPr>
            </w:pPr>
            <w:r>
              <w:rPr>
                <w:rFonts w:hint="eastAsia" w:ascii="宋体" w:hAnsi="宋体" w:cs="宋体"/>
                <w:bCs/>
                <w:color w:val="auto"/>
                <w:szCs w:val="21"/>
                <w:highlight w:val="none"/>
              </w:rPr>
              <w:t>评委根据投标人设备安装、调试、验收的方案和措施进行综合评议（4分）：</w:t>
            </w:r>
          </w:p>
          <w:p w14:paraId="4A233388">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优（3-4]分：设备安装、调试、验收的方案和措施完全满足项目需求的。</w:t>
            </w:r>
          </w:p>
          <w:p w14:paraId="63A1544D">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良（1-3]分：设备安装、调试、验收的方案和措施基本满足项目需求的。</w:t>
            </w:r>
          </w:p>
          <w:p w14:paraId="23700435">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一般（0-1]分：设备安装、调试、验收的方案和措施不能满足项目需求的。</w:t>
            </w:r>
          </w:p>
          <w:p w14:paraId="7D3D9D43">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注：未提供的不得分。</w:t>
            </w:r>
          </w:p>
        </w:tc>
      </w:tr>
      <w:tr w14:paraId="731D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54" w:type="pct"/>
            <w:vMerge w:val="continue"/>
            <w:vAlign w:val="center"/>
          </w:tcPr>
          <w:p w14:paraId="1A32D4F3">
            <w:pPr>
              <w:adjustRightInd w:val="0"/>
              <w:snapToGrid w:val="0"/>
              <w:spacing w:before="156" w:beforeLines="50"/>
              <w:ind w:firstLine="0" w:firstLineChars="0"/>
              <w:jc w:val="center"/>
              <w:rPr>
                <w:rFonts w:ascii="宋体" w:hAnsi="宋体" w:cs="宋体"/>
                <w:color w:val="auto"/>
                <w:szCs w:val="21"/>
                <w:highlight w:val="none"/>
              </w:rPr>
            </w:pPr>
          </w:p>
        </w:tc>
        <w:tc>
          <w:tcPr>
            <w:tcW w:w="895" w:type="pct"/>
            <w:vAlign w:val="center"/>
          </w:tcPr>
          <w:p w14:paraId="7C803890">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项目业绩</w:t>
            </w:r>
          </w:p>
        </w:tc>
        <w:tc>
          <w:tcPr>
            <w:tcW w:w="483" w:type="pct"/>
            <w:vAlign w:val="center"/>
          </w:tcPr>
          <w:p w14:paraId="6B9640B4">
            <w:pPr>
              <w:adjustRightInd w:val="0"/>
              <w:snapToGrid w:val="0"/>
              <w:spacing w:before="156" w:beforeLines="50"/>
              <w:ind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3067" w:type="pct"/>
            <w:vAlign w:val="center"/>
          </w:tcPr>
          <w:p w14:paraId="38335ED5">
            <w:pPr>
              <w:adjustRightInd w:val="0"/>
              <w:snapToGrid w:val="0"/>
              <w:spacing w:before="156" w:beforeLines="50"/>
              <w:ind w:firstLine="0" w:firstLineChars="0"/>
              <w:rPr>
                <w:rFonts w:ascii="宋体" w:hAnsi="宋体" w:cs="宋体"/>
                <w:bCs/>
                <w:color w:val="auto"/>
                <w:szCs w:val="21"/>
                <w:highlight w:val="none"/>
              </w:rPr>
            </w:pP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投标人自2023年5月1日</w:t>
            </w:r>
            <w:r>
              <w:rPr>
                <w:rFonts w:hint="eastAsia" w:ascii="宋体" w:hAnsi="宋体" w:cs="宋体"/>
                <w:b/>
                <w:bCs/>
                <w:color w:val="auto"/>
                <w:szCs w:val="21"/>
                <w:highlight w:val="none"/>
              </w:rPr>
              <w:t>以来</w:t>
            </w:r>
            <w:r>
              <w:rPr>
                <w:rFonts w:hint="eastAsia" w:ascii="宋体" w:hAnsi="宋体" w:cs="宋体"/>
                <w:bCs/>
                <w:color w:val="auto"/>
                <w:szCs w:val="21"/>
                <w:highlight w:val="none"/>
              </w:rPr>
              <w:t>（以所提供的合同签订之日为准）煤炭制样设备成功投运的业绩（制造商的业绩可作为其授权代理商的业绩，其中必须含锤式破碎机、联合制样机、制样粉碎机）。</w:t>
            </w:r>
          </w:p>
          <w:p w14:paraId="5243FBEA">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每提供一份有效业绩得1分，最多得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61EC0385">
            <w:pPr>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注：须提供①合同扫描件(包括合同首页、签字盖章页及能反映供货范围等相关合同内容的关键页)、②</w:t>
            </w:r>
            <w:r>
              <w:rPr>
                <w:rFonts w:hint="eastAsia" w:ascii="宋体" w:hAnsi="宋体" w:cs="宋体"/>
                <w:color w:val="auto"/>
                <w:szCs w:val="21"/>
                <w:highlight w:val="none"/>
                <w:lang w:eastAsia="zh-CN"/>
              </w:rPr>
              <w:t>验收记录</w:t>
            </w:r>
            <w:r>
              <w:rPr>
                <w:rFonts w:hint="eastAsia" w:ascii="宋体" w:hAnsi="宋体" w:cs="宋体"/>
                <w:color w:val="auto"/>
                <w:szCs w:val="21"/>
                <w:highlight w:val="none"/>
              </w:rPr>
              <w:t>、③结算发票扫描件，缺一不可并加盖投标人公章。</w:t>
            </w:r>
          </w:p>
          <w:p w14:paraId="6DD0B75B">
            <w:pPr>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、投标人自2023年5月1日</w:t>
            </w:r>
            <w:r>
              <w:rPr>
                <w:rFonts w:hint="eastAsia" w:ascii="宋体" w:hAnsi="宋体" w:cs="宋体"/>
                <w:b/>
                <w:bCs/>
                <w:color w:val="auto"/>
                <w:szCs w:val="21"/>
                <w:highlight w:val="none"/>
              </w:rPr>
              <w:t>以来</w:t>
            </w:r>
            <w:r>
              <w:rPr>
                <w:rFonts w:hint="eastAsia" w:ascii="宋体" w:hAnsi="宋体" w:cs="宋体"/>
                <w:color w:val="auto"/>
                <w:szCs w:val="21"/>
                <w:highlight w:val="none"/>
              </w:rPr>
              <w:t>（以所提供的合同签订之日为准）铁矿制样设备成功投运的业绩（制造商的业绩可作为其授权代理商的业绩，其中必须含制样粉碎机）。</w:t>
            </w:r>
          </w:p>
          <w:p w14:paraId="2E1D68D6">
            <w:pPr>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每提供一份有效业绩得1分，最多得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090551DE">
            <w:pPr>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注：须提供①合同扫描件(包括合同首页、签字盖章页及能反映供货范围等相关合同内容的关键页)、②验收记录、③结算发票扫描件，缺一不可并加盖投标人公章。</w:t>
            </w:r>
          </w:p>
        </w:tc>
      </w:tr>
      <w:tr w14:paraId="563C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54" w:type="pct"/>
            <w:vMerge w:val="continue"/>
            <w:vAlign w:val="center"/>
          </w:tcPr>
          <w:p w14:paraId="09865C6A">
            <w:pPr>
              <w:adjustRightInd w:val="0"/>
              <w:snapToGrid w:val="0"/>
              <w:spacing w:before="156" w:beforeLines="50"/>
              <w:ind w:firstLine="0" w:firstLineChars="0"/>
              <w:jc w:val="center"/>
              <w:rPr>
                <w:rFonts w:ascii="宋体" w:hAnsi="宋体" w:cs="宋体"/>
                <w:color w:val="auto"/>
                <w:szCs w:val="21"/>
                <w:highlight w:val="none"/>
              </w:rPr>
            </w:pPr>
          </w:p>
        </w:tc>
        <w:tc>
          <w:tcPr>
            <w:tcW w:w="895" w:type="pct"/>
            <w:vAlign w:val="center"/>
          </w:tcPr>
          <w:p w14:paraId="3ECEB03D">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质保期</w:t>
            </w:r>
          </w:p>
        </w:tc>
        <w:tc>
          <w:tcPr>
            <w:tcW w:w="483" w:type="pct"/>
            <w:vAlign w:val="center"/>
          </w:tcPr>
          <w:p w14:paraId="51C57DC4">
            <w:pPr>
              <w:adjustRightInd w:val="0"/>
              <w:snapToGrid w:val="0"/>
              <w:spacing w:before="156" w:beforeLines="50"/>
              <w:ind w:firstLine="0" w:firstLineChars="0"/>
              <w:jc w:val="center"/>
              <w:rPr>
                <w:rFonts w:ascii="宋体" w:hAnsi="宋体" w:cs="宋体"/>
                <w:bCs/>
                <w:color w:val="auto"/>
                <w:szCs w:val="21"/>
                <w:highlight w:val="none"/>
              </w:rPr>
            </w:pPr>
            <w:r>
              <w:rPr>
                <w:rFonts w:hint="eastAsia" w:ascii="宋体" w:hAnsi="宋体" w:cs="宋体"/>
                <w:color w:val="auto"/>
                <w:szCs w:val="21"/>
                <w:highlight w:val="none"/>
              </w:rPr>
              <w:t>2</w:t>
            </w:r>
          </w:p>
        </w:tc>
        <w:tc>
          <w:tcPr>
            <w:tcW w:w="3067" w:type="pct"/>
            <w:vAlign w:val="center"/>
          </w:tcPr>
          <w:p w14:paraId="402F26B5">
            <w:pPr>
              <w:adjustRightInd w:val="0"/>
              <w:snapToGrid w:val="0"/>
              <w:spacing w:before="156" w:beforeLines="50"/>
              <w:ind w:firstLine="0" w:firstLineChars="0"/>
              <w:rPr>
                <w:rFonts w:ascii="宋体" w:hAnsi="宋体" w:cs="宋体"/>
                <w:bCs/>
                <w:color w:val="auto"/>
                <w:szCs w:val="21"/>
                <w:highlight w:val="none"/>
              </w:rPr>
            </w:pPr>
            <w:r>
              <w:rPr>
                <w:rFonts w:hint="eastAsia" w:ascii="宋体" w:hAnsi="宋体" w:cs="宋体"/>
                <w:bCs/>
                <w:color w:val="auto"/>
                <w:szCs w:val="21"/>
                <w:highlight w:val="none"/>
              </w:rPr>
              <w:t>投标人满足招标文件基础要求12个月质保期不得分，承诺质保期每延长3个月得0.5分，最高得2分。</w:t>
            </w:r>
          </w:p>
          <w:p w14:paraId="4F25E92C">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注：须提供承诺函，否则不得分。</w:t>
            </w:r>
          </w:p>
        </w:tc>
      </w:tr>
      <w:tr w14:paraId="0F97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54" w:type="pct"/>
            <w:vMerge w:val="continue"/>
            <w:vAlign w:val="center"/>
          </w:tcPr>
          <w:p w14:paraId="6645F330">
            <w:pPr>
              <w:adjustRightInd w:val="0"/>
              <w:snapToGrid w:val="0"/>
              <w:spacing w:before="156" w:beforeLines="50"/>
              <w:ind w:firstLine="0" w:firstLineChars="0"/>
              <w:jc w:val="center"/>
              <w:rPr>
                <w:rFonts w:ascii="宋体" w:hAnsi="宋体" w:cs="宋体"/>
                <w:color w:val="auto"/>
                <w:szCs w:val="21"/>
                <w:highlight w:val="none"/>
              </w:rPr>
            </w:pPr>
          </w:p>
        </w:tc>
        <w:tc>
          <w:tcPr>
            <w:tcW w:w="895" w:type="pct"/>
            <w:vAlign w:val="center"/>
          </w:tcPr>
          <w:p w14:paraId="0A6C6B75">
            <w:pPr>
              <w:adjustRightInd w:val="0"/>
              <w:snapToGrid w:val="0"/>
              <w:spacing w:before="156" w:beforeLines="5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售后服务</w:t>
            </w:r>
          </w:p>
        </w:tc>
        <w:tc>
          <w:tcPr>
            <w:tcW w:w="483" w:type="pct"/>
            <w:vAlign w:val="center"/>
          </w:tcPr>
          <w:p w14:paraId="5901D577">
            <w:pPr>
              <w:adjustRightInd w:val="0"/>
              <w:snapToGrid w:val="0"/>
              <w:spacing w:before="156" w:beforeLines="50"/>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3067" w:type="pct"/>
            <w:vAlign w:val="center"/>
          </w:tcPr>
          <w:p w14:paraId="4547EC4A">
            <w:pPr>
              <w:adjustRightInd w:val="0"/>
              <w:snapToGrid w:val="0"/>
              <w:spacing w:before="156" w:beforeLines="50"/>
              <w:ind w:firstLine="0" w:firstLineChars="0"/>
              <w:rPr>
                <w:rFonts w:ascii="宋体" w:hAnsi="宋体" w:cs="宋体"/>
                <w:bCs/>
                <w:color w:val="auto"/>
                <w:szCs w:val="21"/>
                <w:highlight w:val="none"/>
              </w:rPr>
            </w:pPr>
            <w:r>
              <w:rPr>
                <w:rFonts w:hint="eastAsia" w:ascii="宋体" w:hAnsi="宋体" w:cs="宋体"/>
                <w:bCs/>
                <w:color w:val="auto"/>
                <w:szCs w:val="21"/>
                <w:highlight w:val="none"/>
              </w:rPr>
              <w:t>评标委员会根据投标人提供的售后服务方案，售后服务体系，售后人员配备，响应时间等方面进行综合比较，评分：</w:t>
            </w:r>
          </w:p>
          <w:p w14:paraId="31B49E23">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优（1.5-2]分：方案内容全面、针对性强、安全措施具体可行；</w:t>
            </w:r>
          </w:p>
          <w:p w14:paraId="63EADAC3">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良（0.5-1.5]分：方案较完整、措施基本可行；</w:t>
            </w:r>
          </w:p>
          <w:p w14:paraId="0BFE066A">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一般（0-0.5]分：方案简单、针对性一般。</w:t>
            </w:r>
          </w:p>
          <w:p w14:paraId="691A08A4">
            <w:pPr>
              <w:adjustRightInd w:val="0"/>
              <w:snapToGrid w:val="0"/>
              <w:ind w:firstLine="0" w:firstLineChars="0"/>
              <w:rPr>
                <w:rFonts w:ascii="宋体" w:hAnsi="宋体" w:cs="宋体"/>
                <w:bCs/>
                <w:color w:val="auto"/>
                <w:szCs w:val="21"/>
                <w:highlight w:val="none"/>
              </w:rPr>
            </w:pPr>
            <w:r>
              <w:rPr>
                <w:rFonts w:hint="eastAsia" w:ascii="宋体" w:hAnsi="宋体" w:cs="宋体"/>
                <w:bCs/>
                <w:color w:val="auto"/>
                <w:szCs w:val="21"/>
                <w:highlight w:val="none"/>
              </w:rPr>
              <w:t>注：未提供方案则不得分。</w:t>
            </w:r>
          </w:p>
        </w:tc>
      </w:tr>
    </w:tbl>
    <w:p w14:paraId="24B5688F">
      <w:pPr>
        <w:ind w:firstLine="422"/>
        <w:rPr>
          <w:rFonts w:ascii="宋体" w:hAnsi="宋体" w:cs="宋体"/>
          <w:b/>
          <w:color w:val="auto"/>
          <w:szCs w:val="21"/>
          <w:highlight w:val="none"/>
        </w:rPr>
      </w:pPr>
      <w:r>
        <w:rPr>
          <w:rFonts w:hint="eastAsia" w:ascii="宋体" w:hAnsi="宋体" w:cs="宋体"/>
          <w:b/>
          <w:color w:val="auto"/>
          <w:szCs w:val="21"/>
          <w:highlight w:val="none"/>
        </w:rPr>
        <w:t>第二阶段评审</w:t>
      </w:r>
    </w:p>
    <w:p w14:paraId="3C950BA7">
      <w:pPr>
        <w:ind w:firstLine="422"/>
        <w:rPr>
          <w:color w:val="auto"/>
          <w:highlight w:val="none"/>
        </w:rPr>
      </w:pPr>
      <w:r>
        <w:rPr>
          <w:rFonts w:hint="eastAsia" w:ascii="宋体" w:hAnsi="宋体" w:cs="宋体"/>
          <w:b/>
          <w:color w:val="auto"/>
          <w:szCs w:val="21"/>
          <w:highlight w:val="none"/>
        </w:rPr>
        <w:t>2、价格标评分80分</w:t>
      </w: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697"/>
        <w:gridCol w:w="6334"/>
      </w:tblGrid>
      <w:tr w14:paraId="20EA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86" w:type="dxa"/>
            <w:vAlign w:val="center"/>
          </w:tcPr>
          <w:p w14:paraId="358B9B8D">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评分因素</w:t>
            </w:r>
          </w:p>
        </w:tc>
        <w:tc>
          <w:tcPr>
            <w:tcW w:w="697" w:type="dxa"/>
            <w:vAlign w:val="center"/>
          </w:tcPr>
          <w:p w14:paraId="5AFDE959">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分值</w:t>
            </w:r>
          </w:p>
        </w:tc>
        <w:tc>
          <w:tcPr>
            <w:tcW w:w="6335" w:type="dxa"/>
            <w:vAlign w:val="center"/>
          </w:tcPr>
          <w:p w14:paraId="3270BD7E">
            <w:pPr>
              <w:adjustRightInd w:val="0"/>
              <w:snapToGrid w:val="0"/>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评分标准说明</w:t>
            </w:r>
          </w:p>
        </w:tc>
      </w:tr>
      <w:tr w14:paraId="5BD2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486" w:type="dxa"/>
            <w:vAlign w:val="center"/>
          </w:tcPr>
          <w:p w14:paraId="283B37FD">
            <w:pPr>
              <w:adjustRightInd w:val="0"/>
              <w:snapToGrid w:val="0"/>
              <w:spacing w:before="156" w:beforeLines="50"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价格部分</w:t>
            </w:r>
          </w:p>
          <w:p w14:paraId="23D3BF58">
            <w:pPr>
              <w:adjustRightInd w:val="0"/>
              <w:snapToGrid w:val="0"/>
              <w:spacing w:before="156" w:beforeLines="50"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80分</w:t>
            </w:r>
          </w:p>
        </w:tc>
        <w:tc>
          <w:tcPr>
            <w:tcW w:w="697" w:type="dxa"/>
            <w:vAlign w:val="center"/>
          </w:tcPr>
          <w:p w14:paraId="1445F046">
            <w:pPr>
              <w:adjustRightInd w:val="0"/>
              <w:snapToGrid w:val="0"/>
              <w:spacing w:before="156" w:beforeLines="50"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80</w:t>
            </w:r>
          </w:p>
        </w:tc>
        <w:tc>
          <w:tcPr>
            <w:tcW w:w="6335" w:type="dxa"/>
            <w:vAlign w:val="center"/>
          </w:tcPr>
          <w:p w14:paraId="77C5DC3B">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①经评审合格的投标人为五家及以下，A=评标基准价=经评审合格的投标人报价的算术平均值*0.98；</w:t>
            </w:r>
          </w:p>
          <w:p w14:paraId="4B599316">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②经评审合格的投标人为五家以上，A=评标基准价=经评审合格的投标人报价去掉一个最高价和一个最低价后的算术平均值*0.98。</w:t>
            </w:r>
          </w:p>
          <w:p w14:paraId="21910CFB">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 xml:space="preserve">B=各有效投标人的有效投标报价，计算价格分方法如下： </w:t>
            </w:r>
          </w:p>
          <w:p w14:paraId="6995466F">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（1）评标价格为评标基准价的得8</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p w14:paraId="722E9CEE">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（2）B＞A，投标人报价得分=8</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-60×(B-A)/A；</w:t>
            </w:r>
          </w:p>
          <w:p w14:paraId="7E68CDAF">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（3）B＜A，投标人报价得分=8</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+30×(B-A)/A。</w:t>
            </w:r>
          </w:p>
          <w:p w14:paraId="3D3C6DC5">
            <w:pPr>
              <w:adjustRightInd w:val="0"/>
              <w:snapToGrid w:val="0"/>
              <w:ind w:firstLine="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价格分保留小数点后两位，第三位四舍五入。</w:t>
            </w:r>
          </w:p>
        </w:tc>
      </w:tr>
    </w:tbl>
    <w:p w14:paraId="6976BAAE">
      <w:pPr>
        <w:ind w:firstLine="422"/>
        <w:rPr>
          <w:rFonts w:ascii="宋体" w:hAnsi="宋体" w:cs="宋体"/>
          <w:b/>
          <w:bCs/>
          <w:color w:val="auto"/>
          <w:highlight w:val="none"/>
        </w:rPr>
      </w:pPr>
      <w:r>
        <w:rPr>
          <w:rFonts w:hint="eastAsia" w:ascii="宋体" w:hAnsi="宋体" w:cs="宋体"/>
          <w:b/>
          <w:bCs/>
          <w:color w:val="auto"/>
          <w:highlight w:val="none"/>
        </w:rPr>
        <w:t>注：</w:t>
      </w:r>
    </w:p>
    <w:p w14:paraId="3458900B">
      <w:pPr>
        <w:ind w:firstLine="422"/>
        <w:rPr>
          <w:rFonts w:ascii="宋体" w:hAnsi="宋体" w:cs="宋体"/>
          <w:b/>
          <w:bCs/>
          <w:color w:val="auto"/>
          <w:highlight w:val="none"/>
        </w:rPr>
      </w:pPr>
      <w:r>
        <w:rPr>
          <w:rFonts w:hint="eastAsia" w:ascii="宋体" w:hAnsi="宋体" w:cs="宋体"/>
          <w:b/>
          <w:bCs/>
          <w:color w:val="auto"/>
          <w:highlight w:val="none"/>
        </w:rPr>
        <w:t>1、上述评分表中“(”、“）”不含本数，“[”、“]”包含本数。</w:t>
      </w:r>
    </w:p>
    <w:p w14:paraId="01E4C78F">
      <w:pPr>
        <w:ind w:firstLine="422"/>
        <w:rPr>
          <w:rFonts w:ascii="宋体" w:hAnsi="宋体" w:cs="宋体"/>
          <w:color w:val="auto"/>
          <w:highlight w:val="none"/>
        </w:rPr>
      </w:pPr>
      <w:r>
        <w:rPr>
          <w:rFonts w:hint="eastAsia" w:ascii="宋体" w:hAnsi="宋体" w:cs="宋体"/>
          <w:b/>
          <w:bCs/>
          <w:color w:val="auto"/>
          <w:highlight w:val="none"/>
        </w:rPr>
        <w:t>2、投标人在投标文件目录前增加索引页，针对评标办法中的每一个评分项目，注明投标文件内相应的页码，以方便检索。</w:t>
      </w:r>
      <w:r>
        <w:rPr>
          <w:rFonts w:hint="eastAsia" w:ascii="宋体" w:hAnsi="宋体" w:cs="宋体"/>
          <w:color w:val="auto"/>
          <w:highlight w:val="none"/>
        </w:rPr>
        <w:tab/>
      </w:r>
    </w:p>
    <w:p w14:paraId="4B10B094">
      <w:pPr>
        <w:pStyle w:val="2"/>
        <w:rPr>
          <w:rFonts w:ascii="宋体" w:hAnsi="宋体" w:cs="宋体"/>
          <w:color w:val="auto"/>
          <w:highlight w:val="none"/>
        </w:rPr>
      </w:pPr>
      <w:r>
        <w:rPr>
          <w:rFonts w:hint="eastAsia" w:ascii="宋体" w:hAnsi="宋体" w:cs="宋体"/>
          <w:color w:val="auto"/>
          <w:highlight w:val="none"/>
        </w:rPr>
        <w:br w:type="page"/>
      </w:r>
      <w:bookmarkStart w:id="37" w:name="_Toc27622"/>
      <w:r>
        <w:rPr>
          <w:rFonts w:hint="eastAsia" w:ascii="宋体" w:hAnsi="宋体" w:cs="宋体"/>
          <w:color w:val="auto"/>
          <w:highlight w:val="none"/>
        </w:rPr>
        <w:t>第五章  合同主要条款</w:t>
      </w:r>
      <w:bookmarkEnd w:id="37"/>
    </w:p>
    <w:bookmarkEnd w:id="35"/>
    <w:bookmarkEnd w:id="36"/>
    <w:p w14:paraId="218E2B1E">
      <w:pPr>
        <w:adjustRightInd w:val="0"/>
        <w:snapToGrid w:val="0"/>
        <w:ind w:firstLine="422"/>
        <w:rPr>
          <w:rFonts w:ascii="宋体" w:hAnsi="宋体" w:cs="宋体"/>
          <w:b/>
          <w:bCs/>
          <w:color w:val="auto"/>
          <w:szCs w:val="21"/>
          <w:highlight w:val="none"/>
        </w:rPr>
      </w:pPr>
      <w:bookmarkStart w:id="38" w:name="_Toc317116872"/>
      <w:bookmarkStart w:id="39" w:name="_Toc13179"/>
    </w:p>
    <w:p w14:paraId="60FD8799">
      <w:pPr>
        <w:ind w:firstLine="0" w:firstLineChars="0"/>
        <w:jc w:val="center"/>
        <w:rPr>
          <w:rFonts w:ascii="宋体" w:hAnsi="宋体" w:cs="宋体"/>
          <w:b/>
          <w:color w:val="auto"/>
          <w:sz w:val="28"/>
          <w:szCs w:val="28"/>
          <w:highlight w:val="none"/>
        </w:rPr>
      </w:pPr>
      <w:r>
        <w:rPr>
          <w:rFonts w:hint="eastAsia" w:ascii="宋体" w:hAnsi="宋体" w:cs="宋体"/>
          <w:b/>
          <w:color w:val="auto"/>
          <w:sz w:val="28"/>
          <w:szCs w:val="28"/>
          <w:highlight w:val="none"/>
        </w:rPr>
        <w:t>物资采购合同</w:t>
      </w:r>
    </w:p>
    <w:p w14:paraId="58D4C515">
      <w:pPr>
        <w:ind w:firstLine="0" w:firstLineChars="0"/>
        <w:rPr>
          <w:rFonts w:ascii="宋体" w:hAnsi="宋体" w:cs="宋体"/>
          <w:color w:val="auto"/>
          <w:szCs w:val="21"/>
          <w:highlight w:val="none"/>
        </w:rPr>
      </w:pPr>
    </w:p>
    <w:p w14:paraId="52E3534B">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甲方（采购方）：</w:t>
      </w:r>
    </w:p>
    <w:p w14:paraId="43FA6354">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住所地：</w:t>
      </w:r>
    </w:p>
    <w:p w14:paraId="48EEA33A">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联系人：          电话：          电子邮箱：          </w:t>
      </w:r>
    </w:p>
    <w:p w14:paraId="44693DD2">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乙方（供货方）：</w:t>
      </w:r>
    </w:p>
    <w:p w14:paraId="3830CF96">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住所地：</w:t>
      </w:r>
    </w:p>
    <w:p w14:paraId="70507EE6">
      <w:pPr>
        <w:adjustRightInd w:val="0"/>
        <w:snapToGrid w:val="0"/>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联系人：          电话：          电子邮箱：          </w:t>
      </w:r>
    </w:p>
    <w:p w14:paraId="2B386E71">
      <w:pPr>
        <w:ind w:firstLine="420"/>
        <w:rPr>
          <w:rFonts w:ascii="宋体" w:hAnsi="宋体" w:cs="宋体"/>
          <w:color w:val="auto"/>
          <w:szCs w:val="21"/>
          <w:highlight w:val="none"/>
        </w:rPr>
      </w:pPr>
    </w:p>
    <w:p w14:paraId="1B085186">
      <w:pPr>
        <w:ind w:firstLine="420"/>
        <w:rPr>
          <w:rFonts w:ascii="宋体" w:hAnsi="宋体" w:cs="宋体"/>
          <w:color w:val="auto"/>
          <w:szCs w:val="21"/>
          <w:highlight w:val="none"/>
        </w:rPr>
      </w:pPr>
      <w:r>
        <w:rPr>
          <w:rFonts w:hint="eastAsia" w:ascii="宋体" w:hAnsi="宋体" w:cs="宋体"/>
          <w:color w:val="auto"/>
          <w:szCs w:val="21"/>
          <w:highlight w:val="none"/>
        </w:rPr>
        <w:t>甲方因生产经营需要，向乙方采购XX物资，根据《中华人民共和国民法典》及有关规定，经友好协商，订立本合同。</w:t>
      </w:r>
    </w:p>
    <w:p w14:paraId="7144F35A">
      <w:pPr>
        <w:ind w:firstLine="420"/>
        <w:rPr>
          <w:rFonts w:ascii="宋体" w:hAnsi="宋体" w:cs="宋体"/>
          <w:color w:val="auto"/>
          <w:szCs w:val="21"/>
          <w:highlight w:val="none"/>
        </w:rPr>
      </w:pPr>
      <w:r>
        <w:rPr>
          <w:rFonts w:hint="eastAsia" w:ascii="宋体" w:hAnsi="宋体" w:cs="宋体"/>
          <w:color w:val="auto"/>
          <w:szCs w:val="21"/>
          <w:highlight w:val="none"/>
        </w:rPr>
        <w:t>一、产品基本信息</w:t>
      </w:r>
    </w:p>
    <w:p w14:paraId="1343C0D2">
      <w:pPr>
        <w:ind w:firstLine="420"/>
        <w:rPr>
          <w:rFonts w:ascii="宋体" w:hAnsi="宋体" w:cs="宋体"/>
          <w:color w:val="auto"/>
          <w:szCs w:val="21"/>
          <w:highlight w:val="none"/>
        </w:rPr>
      </w:pPr>
      <w:r>
        <w:rPr>
          <w:rFonts w:hint="eastAsia" w:ascii="宋体" w:hAnsi="宋体" w:cs="宋体"/>
          <w:color w:val="auto"/>
          <w:szCs w:val="21"/>
          <w:highlight w:val="none"/>
        </w:rPr>
        <w:t>1、产品名称：</w:t>
      </w:r>
      <w:r>
        <w:rPr>
          <w:rFonts w:hint="eastAsia" w:ascii="宋体" w:hAnsi="宋体" w:cs="宋体"/>
          <w:color w:val="auto"/>
          <w:szCs w:val="21"/>
          <w:highlight w:val="none"/>
          <w:u w:val="single"/>
        </w:rPr>
        <w:t xml:space="preserve">                                                   </w:t>
      </w:r>
    </w:p>
    <w:p w14:paraId="7296C692">
      <w:pPr>
        <w:ind w:firstLine="420"/>
        <w:rPr>
          <w:rFonts w:ascii="宋体" w:hAnsi="宋体" w:cs="宋体"/>
          <w:color w:val="auto"/>
          <w:szCs w:val="21"/>
          <w:highlight w:val="none"/>
        </w:rPr>
      </w:pPr>
      <w:r>
        <w:rPr>
          <w:rFonts w:hint="eastAsia" w:ascii="宋体" w:hAnsi="宋体" w:cs="宋体"/>
          <w:color w:val="auto"/>
          <w:szCs w:val="21"/>
          <w:highlight w:val="none"/>
        </w:rPr>
        <w:t>2、型号及数量：</w:t>
      </w:r>
      <w:r>
        <w:rPr>
          <w:rFonts w:hint="eastAsia" w:ascii="宋体" w:hAnsi="宋体" w:cs="宋体"/>
          <w:color w:val="auto"/>
          <w:szCs w:val="21"/>
          <w:highlight w:val="none"/>
          <w:u w:val="single"/>
        </w:rPr>
        <w:t xml:space="preserve">                                                 </w:t>
      </w:r>
    </w:p>
    <w:p w14:paraId="7528068C">
      <w:pPr>
        <w:ind w:firstLine="420"/>
        <w:rPr>
          <w:rFonts w:ascii="宋体" w:hAnsi="宋体" w:cs="宋体"/>
          <w:color w:val="auto"/>
          <w:szCs w:val="21"/>
          <w:highlight w:val="none"/>
        </w:rPr>
      </w:pPr>
      <w:r>
        <w:rPr>
          <w:rFonts w:hint="eastAsia" w:ascii="宋体" w:hAnsi="宋体" w:cs="宋体"/>
          <w:color w:val="auto"/>
          <w:szCs w:val="21"/>
          <w:highlight w:val="none"/>
        </w:rPr>
        <w:t>3、技术规格：</w:t>
      </w:r>
      <w:r>
        <w:rPr>
          <w:rFonts w:hint="eastAsia" w:ascii="宋体" w:hAnsi="宋体" w:cs="宋体"/>
          <w:color w:val="auto"/>
          <w:szCs w:val="21"/>
          <w:highlight w:val="none"/>
          <w:u w:val="single"/>
        </w:rPr>
        <w:t xml:space="preserve">                                                   </w:t>
      </w:r>
    </w:p>
    <w:p w14:paraId="1801A268">
      <w:pPr>
        <w:ind w:firstLine="420"/>
        <w:rPr>
          <w:rFonts w:ascii="宋体" w:hAnsi="宋体" w:cs="宋体"/>
          <w:color w:val="auto"/>
          <w:szCs w:val="21"/>
          <w:highlight w:val="none"/>
        </w:rPr>
      </w:pPr>
      <w:r>
        <w:rPr>
          <w:rFonts w:hint="eastAsia" w:ascii="宋体" w:hAnsi="宋体" w:cs="宋体"/>
          <w:color w:val="auto"/>
          <w:szCs w:val="21"/>
          <w:highlight w:val="none"/>
        </w:rPr>
        <w:t>二、产品质量要求</w:t>
      </w:r>
    </w:p>
    <w:p w14:paraId="3AC79EAA">
      <w:pPr>
        <w:ind w:firstLine="420"/>
        <w:rPr>
          <w:rFonts w:ascii="宋体" w:hAnsi="宋体" w:cs="宋体"/>
          <w:color w:val="auto"/>
          <w:szCs w:val="21"/>
          <w:highlight w:val="none"/>
        </w:rPr>
      </w:pPr>
      <w:r>
        <w:rPr>
          <w:rFonts w:hint="eastAsia" w:ascii="宋体" w:hAnsi="宋体" w:cs="宋体"/>
          <w:color w:val="auto"/>
          <w:szCs w:val="21"/>
          <w:highlight w:val="none"/>
        </w:rPr>
        <w:t>1、合法授权：乙方保证产品为原装正品，并且具有产品生产商、专利权利人、商标权利人的合法授权。</w:t>
      </w:r>
    </w:p>
    <w:p w14:paraId="4AA2ACF4">
      <w:pPr>
        <w:ind w:firstLine="420"/>
        <w:rPr>
          <w:rFonts w:ascii="宋体" w:hAnsi="宋体" w:cs="宋体"/>
          <w:color w:val="auto"/>
          <w:szCs w:val="21"/>
          <w:highlight w:val="none"/>
        </w:rPr>
      </w:pPr>
      <w:r>
        <w:rPr>
          <w:rFonts w:hint="eastAsia" w:ascii="宋体" w:hAnsi="宋体" w:cs="宋体"/>
          <w:color w:val="auto"/>
          <w:szCs w:val="21"/>
          <w:highlight w:val="none"/>
        </w:rPr>
        <w:t>2、产品质量标准：</w:t>
      </w:r>
      <w:r>
        <w:rPr>
          <w:rFonts w:hint="eastAsia" w:ascii="宋体" w:hAnsi="宋体" w:cs="宋体"/>
          <w:color w:val="auto"/>
          <w:szCs w:val="21"/>
          <w:highlight w:val="none"/>
          <w:u w:val="single"/>
        </w:rPr>
        <w:t>符合国家标准、地方标准、行业标准</w:t>
      </w:r>
    </w:p>
    <w:p w14:paraId="0C388B77">
      <w:pPr>
        <w:ind w:firstLine="420"/>
        <w:rPr>
          <w:rFonts w:ascii="宋体" w:hAnsi="宋体" w:cs="宋体"/>
          <w:color w:val="auto"/>
          <w:szCs w:val="21"/>
          <w:highlight w:val="none"/>
        </w:rPr>
      </w:pPr>
      <w:r>
        <w:rPr>
          <w:rFonts w:hint="eastAsia" w:ascii="宋体" w:hAnsi="宋体" w:cs="宋体"/>
          <w:color w:val="auto"/>
          <w:szCs w:val="21"/>
          <w:highlight w:val="none"/>
        </w:rPr>
        <w:t>3、甲方对产品质量的特殊要求：</w:t>
      </w:r>
      <w:r>
        <w:rPr>
          <w:rFonts w:hint="eastAsia" w:ascii="宋体" w:hAnsi="宋体" w:cs="宋体"/>
          <w:color w:val="auto"/>
          <w:szCs w:val="21"/>
          <w:highlight w:val="none"/>
          <w:u w:val="single"/>
        </w:rPr>
        <w:t xml:space="preserve">                                   </w:t>
      </w:r>
    </w:p>
    <w:p w14:paraId="352FAE64">
      <w:pPr>
        <w:ind w:firstLine="420"/>
        <w:rPr>
          <w:rFonts w:ascii="宋体" w:hAnsi="宋体" w:cs="宋体"/>
          <w:color w:val="auto"/>
          <w:szCs w:val="21"/>
          <w:highlight w:val="none"/>
        </w:rPr>
      </w:pPr>
      <w:r>
        <w:rPr>
          <w:rFonts w:hint="eastAsia" w:ascii="宋体" w:hAnsi="宋体" w:cs="宋体"/>
          <w:color w:val="auto"/>
          <w:szCs w:val="21"/>
          <w:highlight w:val="none"/>
        </w:rPr>
        <w:t>三、合同金额</w:t>
      </w:r>
    </w:p>
    <w:p w14:paraId="01C36C77">
      <w:pPr>
        <w:ind w:firstLine="420"/>
        <w:rPr>
          <w:rFonts w:ascii="宋体" w:hAnsi="宋体" w:cs="宋体"/>
          <w:color w:val="auto"/>
          <w:szCs w:val="21"/>
          <w:highlight w:val="none"/>
        </w:rPr>
      </w:pPr>
      <w:r>
        <w:rPr>
          <w:rFonts w:hint="eastAsia" w:ascii="宋体" w:hAnsi="宋体" w:cs="宋体"/>
          <w:color w:val="auto"/>
          <w:szCs w:val="21"/>
          <w:highlight w:val="none"/>
        </w:rPr>
        <w:t>1、总价：预计人民币大写金额：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（含税，税率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%），实际货款总价按合格交付的产品数量计算。</w:t>
      </w:r>
    </w:p>
    <w:p w14:paraId="2D28B8A7">
      <w:pPr>
        <w:ind w:firstLine="420"/>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本合同金额包括货物、增值税（13%）、标准附件、安装、调试、检验、培训、技术服务、运至最终目的地的运费和保险费等所有费用（含平台交易服务费），乙方不得以任何理由要求甲方另行支付其他费用。</w:t>
      </w:r>
    </w:p>
    <w:p w14:paraId="4C50E156">
      <w:pPr>
        <w:ind w:firstLine="420"/>
        <w:rPr>
          <w:rFonts w:ascii="宋体" w:hAnsi="宋体" w:cs="宋体"/>
          <w:color w:val="auto"/>
          <w:szCs w:val="21"/>
          <w:highlight w:val="none"/>
        </w:rPr>
      </w:pPr>
      <w:r>
        <w:rPr>
          <w:rFonts w:hint="eastAsia" w:ascii="宋体" w:hAnsi="宋体" w:cs="宋体"/>
          <w:color w:val="auto"/>
          <w:szCs w:val="21"/>
          <w:highlight w:val="none"/>
        </w:rPr>
        <w:t>四、产品的交付、包装、运输和安装调试</w:t>
      </w:r>
    </w:p>
    <w:p w14:paraId="4E3BD655">
      <w:pPr>
        <w:ind w:firstLine="420"/>
        <w:rPr>
          <w:rFonts w:ascii="宋体" w:hAnsi="宋体" w:cs="宋体"/>
          <w:color w:val="auto"/>
          <w:szCs w:val="21"/>
          <w:highlight w:val="none"/>
        </w:rPr>
      </w:pPr>
      <w:r>
        <w:rPr>
          <w:rFonts w:hint="eastAsia" w:ascii="宋体" w:hAnsi="宋体" w:cs="宋体"/>
          <w:color w:val="auto"/>
          <w:szCs w:val="21"/>
          <w:highlight w:val="none"/>
        </w:rPr>
        <w:t>1、产品交货期：</w:t>
      </w:r>
      <w:r>
        <w:rPr>
          <w:rFonts w:hint="eastAsia" w:ascii="宋体" w:hAnsi="宋体" w:cs="宋体"/>
          <w:color w:val="auto"/>
          <w:szCs w:val="21"/>
          <w:highlight w:val="none"/>
          <w:lang w:val="en-US" w:eastAsia="zh-CN"/>
        </w:rPr>
        <w:t>接甲方书面通知</w:t>
      </w:r>
      <w:r>
        <w:rPr>
          <w:rFonts w:hint="eastAsia" w:ascii="宋体" w:hAnsi="宋体" w:cs="宋体"/>
          <w:color w:val="auto"/>
          <w:szCs w:val="21"/>
          <w:highlight w:val="none"/>
        </w:rPr>
        <w:t>之日起</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日历天内完成供货</w:t>
      </w:r>
      <w:r>
        <w:rPr>
          <w:rFonts w:hint="eastAsia" w:ascii="宋体" w:hAnsi="宋体" w:cs="宋体"/>
          <w:color w:val="auto"/>
          <w:szCs w:val="21"/>
          <w:highlight w:val="none"/>
          <w:lang w:val="en-US" w:eastAsia="zh-CN"/>
        </w:rPr>
        <w:t>及就位调试</w:t>
      </w:r>
      <w:r>
        <w:rPr>
          <w:rFonts w:hint="eastAsia" w:ascii="宋体" w:hAnsi="宋体" w:cs="宋体"/>
          <w:color w:val="auto"/>
          <w:szCs w:val="21"/>
          <w:highlight w:val="none"/>
        </w:rPr>
        <w:t>，并通过</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验收。</w:t>
      </w:r>
    </w:p>
    <w:p w14:paraId="3EC45586">
      <w:pPr>
        <w:ind w:firstLine="420"/>
        <w:rPr>
          <w:rFonts w:ascii="宋体" w:hAnsi="宋体" w:cs="宋体"/>
          <w:color w:val="auto"/>
          <w:szCs w:val="21"/>
          <w:highlight w:val="none"/>
        </w:rPr>
      </w:pPr>
      <w:r>
        <w:rPr>
          <w:rFonts w:hint="eastAsia" w:ascii="宋体" w:hAnsi="宋体" w:cs="宋体"/>
          <w:color w:val="auto"/>
          <w:szCs w:val="21"/>
          <w:highlight w:val="none"/>
        </w:rPr>
        <w:t>2、交货地点：浙江省温州市乐清市乐清湾港区沙港路1号，温州港南岳港务有限公司。</w:t>
      </w:r>
    </w:p>
    <w:p w14:paraId="08730BE2">
      <w:pPr>
        <w:ind w:firstLine="420"/>
        <w:rPr>
          <w:rFonts w:ascii="宋体" w:hAnsi="宋体" w:cs="宋体"/>
          <w:color w:val="auto"/>
          <w:szCs w:val="21"/>
          <w:highlight w:val="none"/>
        </w:rPr>
      </w:pPr>
      <w:r>
        <w:rPr>
          <w:rFonts w:hint="eastAsia" w:ascii="宋体" w:hAnsi="宋体" w:cs="宋体"/>
          <w:color w:val="auto"/>
          <w:szCs w:val="21"/>
          <w:highlight w:val="none"/>
        </w:rPr>
        <w:t>3、包装要求：</w:t>
      </w:r>
      <w:r>
        <w:rPr>
          <w:rFonts w:hint="eastAsia" w:ascii="宋体" w:hAnsi="宋体" w:cs="宋体"/>
          <w:color w:val="auto"/>
          <w:szCs w:val="21"/>
          <w:highlight w:val="none"/>
          <w:u w:val="single"/>
        </w:rPr>
        <w:t xml:space="preserve"> 按国家标准、行业标准履行，没有国家标准、行业标准的，按通常标准或符合合同目的的标准履行 </w:t>
      </w:r>
      <w:r>
        <w:rPr>
          <w:rFonts w:hint="eastAsia" w:ascii="宋体" w:hAnsi="宋体" w:cs="宋体"/>
          <w:color w:val="auto"/>
          <w:szCs w:val="21"/>
          <w:highlight w:val="none"/>
        </w:rPr>
        <w:t>。</w:t>
      </w:r>
    </w:p>
    <w:p w14:paraId="2B42E27D">
      <w:pPr>
        <w:ind w:firstLine="420"/>
        <w:rPr>
          <w:rFonts w:ascii="宋体" w:hAnsi="宋体" w:cs="宋体"/>
          <w:color w:val="auto"/>
          <w:szCs w:val="21"/>
          <w:highlight w:val="none"/>
        </w:rPr>
      </w:pPr>
      <w:r>
        <w:rPr>
          <w:rFonts w:hint="eastAsia" w:ascii="宋体" w:hAnsi="宋体" w:cs="宋体"/>
          <w:color w:val="auto"/>
          <w:szCs w:val="21"/>
          <w:highlight w:val="none"/>
        </w:rPr>
        <w:t>4、运输方式：乙方负责送货上门。</w:t>
      </w:r>
    </w:p>
    <w:p w14:paraId="5F89E9F1">
      <w:pPr>
        <w:ind w:firstLine="420"/>
        <w:rPr>
          <w:rFonts w:ascii="宋体" w:hAnsi="宋体" w:cs="宋体"/>
          <w:color w:val="auto"/>
          <w:szCs w:val="21"/>
          <w:highlight w:val="none"/>
        </w:rPr>
      </w:pPr>
      <w:r>
        <w:rPr>
          <w:rFonts w:hint="eastAsia" w:ascii="宋体" w:hAnsi="宋体" w:cs="宋体"/>
          <w:color w:val="auto"/>
          <w:szCs w:val="21"/>
          <w:highlight w:val="none"/>
        </w:rPr>
        <w:t>5、安装调试：乙方负责安装调试，安装调试过程中非因甲方过错造成的一切损失均由乙方承担。</w:t>
      </w:r>
    </w:p>
    <w:p w14:paraId="5236E6C2">
      <w:pPr>
        <w:ind w:firstLine="420"/>
        <w:rPr>
          <w:rFonts w:ascii="宋体" w:hAnsi="宋体" w:cs="宋体"/>
          <w:color w:val="auto"/>
          <w:szCs w:val="21"/>
          <w:highlight w:val="none"/>
        </w:rPr>
      </w:pPr>
      <w:r>
        <w:rPr>
          <w:rFonts w:hint="eastAsia" w:ascii="宋体" w:hAnsi="宋体" w:cs="宋体"/>
          <w:color w:val="auto"/>
          <w:szCs w:val="21"/>
          <w:highlight w:val="none"/>
        </w:rPr>
        <w:t>五、产品的验收</w:t>
      </w:r>
    </w:p>
    <w:p w14:paraId="0866A806">
      <w:pPr>
        <w:numPr>
          <w:ilvl w:val="0"/>
          <w:numId w:val="1"/>
        </w:numPr>
        <w:ind w:firstLine="420"/>
        <w:rPr>
          <w:rFonts w:ascii="宋体" w:hAnsi="宋体" w:cs="宋体"/>
          <w:color w:val="auto"/>
          <w:szCs w:val="21"/>
          <w:highlight w:val="none"/>
        </w:rPr>
      </w:pPr>
      <w:r>
        <w:rPr>
          <w:rFonts w:hint="eastAsia" w:ascii="宋体" w:hAnsi="宋体" w:cs="宋体"/>
          <w:color w:val="auto"/>
          <w:szCs w:val="21"/>
          <w:highlight w:val="none"/>
        </w:rPr>
        <w:t>乙方按期将产品送至甲方指定的地点后，甲方对产品数量、规格型号、包装进行验收，以确认乙方是否按照合同约定交货。</w:t>
      </w:r>
    </w:p>
    <w:p w14:paraId="063404C7">
      <w:pPr>
        <w:numPr>
          <w:ilvl w:val="0"/>
          <w:numId w:val="1"/>
        </w:numPr>
        <w:ind w:firstLine="422"/>
        <w:rPr>
          <w:rFonts w:ascii="宋体" w:hAnsi="宋体" w:cs="宋体"/>
          <w:color w:val="auto"/>
          <w:szCs w:val="21"/>
          <w:highlight w:val="none"/>
        </w:rPr>
      </w:pPr>
      <w:r>
        <w:rPr>
          <w:rFonts w:hint="eastAsia" w:ascii="宋体" w:hAnsi="宋体" w:cs="宋体"/>
          <w:b/>
          <w:color w:val="auto"/>
          <w:szCs w:val="21"/>
          <w:highlight w:val="none"/>
        </w:rPr>
        <w:t>乙方交付的产品不允许溢短装。产品数量少于合同约定的，乙方应当在交付之日起</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日内补足数量；产品数量多于合同约定的，甲方有权拒收。因产品溢短装产生的一切费用均由乙方承担</w:t>
      </w:r>
      <w:r>
        <w:rPr>
          <w:rFonts w:hint="eastAsia" w:ascii="宋体" w:hAnsi="宋体" w:cs="宋体"/>
          <w:color w:val="auto"/>
          <w:szCs w:val="21"/>
          <w:highlight w:val="none"/>
        </w:rPr>
        <w:t>。</w:t>
      </w:r>
    </w:p>
    <w:p w14:paraId="39513160">
      <w:pPr>
        <w:numPr>
          <w:ilvl w:val="0"/>
          <w:numId w:val="1"/>
        </w:numPr>
        <w:ind w:firstLine="422"/>
        <w:rPr>
          <w:rFonts w:ascii="宋体" w:hAnsi="宋体" w:cs="宋体"/>
          <w:color w:val="auto"/>
          <w:szCs w:val="21"/>
          <w:highlight w:val="none"/>
        </w:rPr>
      </w:pPr>
      <w:r>
        <w:rPr>
          <w:rFonts w:hint="eastAsia" w:ascii="宋体" w:hAnsi="宋体" w:cs="宋体"/>
          <w:b/>
          <w:color w:val="auto"/>
          <w:szCs w:val="21"/>
          <w:highlight w:val="none"/>
        </w:rPr>
        <w:t>甲方对产品的交货验收不视为甲方对乙方产品质量的确认</w:t>
      </w:r>
      <w:r>
        <w:rPr>
          <w:rFonts w:hint="eastAsia" w:ascii="宋体" w:hAnsi="宋体" w:cs="宋体"/>
          <w:color w:val="auto"/>
          <w:szCs w:val="21"/>
          <w:highlight w:val="none"/>
        </w:rPr>
        <w:t>，不减轻或免除乙方本合同项下应承担的质量责任。</w:t>
      </w:r>
    </w:p>
    <w:p w14:paraId="5F9F7B8F">
      <w:pPr>
        <w:numPr>
          <w:ilvl w:val="0"/>
          <w:numId w:val="1"/>
        </w:numPr>
        <w:ind w:firstLine="422"/>
        <w:rPr>
          <w:rFonts w:ascii="宋体" w:hAnsi="宋体" w:cs="宋体"/>
          <w:color w:val="auto"/>
          <w:szCs w:val="21"/>
          <w:highlight w:val="none"/>
        </w:rPr>
      </w:pPr>
      <w:r>
        <w:rPr>
          <w:rFonts w:hint="eastAsia" w:ascii="宋体" w:hAnsi="宋体" w:cs="宋体"/>
          <w:b/>
          <w:color w:val="auto"/>
          <w:szCs w:val="21"/>
          <w:highlight w:val="none"/>
        </w:rPr>
        <w:t>产品交付后，甲方在安装和/或使用过程中，发现产品存在质量问题，或者产品性能不符合本合同约定、相关质量标准或甲方的使用要求的，乙方应无条件予以更换，更换所产生的费用由乙方承担，甲方有权</w:t>
      </w:r>
      <w:r>
        <w:rPr>
          <w:rFonts w:hint="eastAsia" w:ascii="宋体" w:hAnsi="宋体" w:cs="宋体"/>
          <w:b/>
          <w:bCs/>
          <w:color w:val="auto"/>
          <w:szCs w:val="21"/>
          <w:highlight w:val="none"/>
        </w:rPr>
        <w:t>要求乙方赔偿甲方因此造成的一切损失。若乙方怠于更换的，甲方有权另行采购相应产品，因此产生的一切费用概由乙方承担。</w:t>
      </w:r>
    </w:p>
    <w:p w14:paraId="695593C3">
      <w:pPr>
        <w:ind w:firstLine="420"/>
        <w:rPr>
          <w:rFonts w:ascii="宋体" w:hAnsi="宋体" w:cs="宋体"/>
          <w:color w:val="auto"/>
          <w:szCs w:val="21"/>
          <w:highlight w:val="none"/>
        </w:rPr>
      </w:pPr>
      <w:r>
        <w:rPr>
          <w:rFonts w:hint="eastAsia" w:ascii="宋体" w:hAnsi="宋体" w:cs="宋体"/>
          <w:color w:val="auto"/>
          <w:szCs w:val="21"/>
          <w:highlight w:val="none"/>
        </w:rPr>
        <w:t>六、产品质保</w:t>
      </w:r>
    </w:p>
    <w:p w14:paraId="799E1942">
      <w:pPr>
        <w:ind w:firstLine="420"/>
        <w:rPr>
          <w:rFonts w:hint="eastAsia" w:ascii="宋体" w:hAnsi="宋体" w:eastAsia="宋体" w:cs="宋体"/>
          <w:color w:val="auto"/>
          <w:szCs w:val="21"/>
          <w:highlight w:val="none"/>
        </w:rPr>
      </w:pPr>
      <w:r>
        <w:rPr>
          <w:rFonts w:hint="eastAsia" w:ascii="宋体" w:hAnsi="宋体" w:cs="宋体"/>
          <w:color w:val="auto"/>
          <w:szCs w:val="21"/>
          <w:highlight w:val="none"/>
        </w:rPr>
        <w:t>1、乙方承诺所售产品实行产品质保，质保期</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验收合格后起计，所有设备及其配套辅件质保期至少为12个月。</w:t>
      </w:r>
    </w:p>
    <w:p w14:paraId="6F283D81">
      <w:pPr>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质保期内因产品材料、工艺、制造质量问题发生故障、损坏的，</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须免费维修、免费更换，产生的人工、交通、耗材、运输等全部费用由</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承担。如整机维修更换，则质保期自维修完成之日重新起计，如维修更换配件，则配件的质保期自维修完成之日重新起计。</w:t>
      </w:r>
    </w:p>
    <w:p w14:paraId="45690D15">
      <w:pPr>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质保期内，因产品故障或发生质量问题时，乙方应自接到甲方书面通知之日起</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日内进行修理或更换，因修理或更换所产生的费用由乙方承担。不能修理，或经</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次修理仍不符合质量要求的，甲方有权退货，乙方应根据合同约定向甲方承担违约责任</w:t>
      </w:r>
      <w:r>
        <w:rPr>
          <w:rFonts w:hint="eastAsia" w:ascii="宋体" w:hAnsi="宋体" w:cs="宋体"/>
          <w:color w:val="auto"/>
          <w:szCs w:val="21"/>
          <w:highlight w:val="none"/>
        </w:rPr>
        <w:t>。</w:t>
      </w:r>
    </w:p>
    <w:p w14:paraId="57C38F04">
      <w:pPr>
        <w:ind w:firstLine="420"/>
        <w:rPr>
          <w:rFonts w:ascii="宋体" w:hAnsi="宋体" w:cs="宋体"/>
          <w:color w:val="auto"/>
          <w:szCs w:val="21"/>
          <w:highlight w:val="none"/>
        </w:rPr>
      </w:pPr>
      <w:r>
        <w:rPr>
          <w:rFonts w:hint="eastAsia" w:ascii="宋体" w:hAnsi="宋体" w:cs="宋体"/>
          <w:color w:val="auto"/>
          <w:szCs w:val="21"/>
          <w:highlight w:val="none"/>
        </w:rPr>
        <w:t>3、如对产品故障或质量问题产生争议的，可将该争议提交双方认可的国家质检机构检测，双方认可检验报告为产品质量的结论性证据。</w:t>
      </w:r>
      <w:r>
        <w:rPr>
          <w:rFonts w:hint="eastAsia" w:ascii="宋体" w:hAnsi="宋体" w:cs="宋体"/>
          <w:b/>
          <w:color w:val="auto"/>
          <w:szCs w:val="21"/>
          <w:highlight w:val="none"/>
        </w:rPr>
        <w:t>乙方不配合检测的，甲方可自行委托检测。检测结果为产品合格的，检测费由甲方承担；检测结果为产品不合格的，检测费由乙方承担</w:t>
      </w:r>
      <w:r>
        <w:rPr>
          <w:rFonts w:hint="eastAsia" w:ascii="宋体" w:hAnsi="宋体" w:cs="宋体"/>
          <w:color w:val="auto"/>
          <w:szCs w:val="21"/>
          <w:highlight w:val="none"/>
        </w:rPr>
        <w:t>。</w:t>
      </w:r>
    </w:p>
    <w:p w14:paraId="2043394E">
      <w:pPr>
        <w:ind w:firstLine="42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b/>
          <w:color w:val="auto"/>
          <w:szCs w:val="21"/>
          <w:highlight w:val="none"/>
        </w:rPr>
        <w:t>任何时候，因产品故障或质量问题造成甲方或任何其他方人员、财产及生产经营损失的，由乙方负责赔偿。若甲方为此垫付相关费用或已先行承担责任的，则有权向乙方追偿</w:t>
      </w:r>
      <w:r>
        <w:rPr>
          <w:rFonts w:hint="eastAsia" w:ascii="宋体" w:hAnsi="宋体" w:cs="宋体"/>
          <w:color w:val="auto"/>
          <w:szCs w:val="21"/>
          <w:highlight w:val="none"/>
        </w:rPr>
        <w:t>。</w:t>
      </w:r>
    </w:p>
    <w:p w14:paraId="0AE66051">
      <w:pPr>
        <w:ind w:firstLine="420"/>
        <w:rPr>
          <w:rFonts w:ascii="宋体" w:hAnsi="宋体" w:cs="宋体"/>
          <w:color w:val="auto"/>
          <w:szCs w:val="21"/>
          <w:highlight w:val="none"/>
        </w:rPr>
      </w:pPr>
      <w:r>
        <w:rPr>
          <w:rFonts w:hint="eastAsia" w:ascii="宋体" w:hAnsi="宋体" w:cs="宋体"/>
          <w:color w:val="auto"/>
          <w:szCs w:val="21"/>
          <w:highlight w:val="none"/>
        </w:rPr>
        <w:t>5、质保期届满后，乙方同意仍然按照优惠价格（不高于市场价）提供产品的维修、零配件的更换。</w:t>
      </w:r>
    </w:p>
    <w:p w14:paraId="50E10021">
      <w:pPr>
        <w:ind w:firstLine="420"/>
        <w:rPr>
          <w:rFonts w:ascii="宋体" w:hAnsi="宋体" w:cs="宋体"/>
          <w:color w:val="auto"/>
          <w:szCs w:val="21"/>
          <w:highlight w:val="none"/>
        </w:rPr>
      </w:pPr>
      <w:r>
        <w:rPr>
          <w:rFonts w:hint="eastAsia" w:ascii="宋体" w:hAnsi="宋体" w:cs="宋体"/>
          <w:color w:val="auto"/>
          <w:szCs w:val="21"/>
          <w:highlight w:val="none"/>
        </w:rPr>
        <w:t>七、货款结算与支付</w:t>
      </w:r>
    </w:p>
    <w:p w14:paraId="1E5705AA">
      <w:pPr>
        <w:ind w:firstLine="420"/>
        <w:rPr>
          <w:rFonts w:ascii="宋体" w:hAnsi="宋体" w:cs="宋体"/>
          <w:color w:val="auto"/>
          <w:szCs w:val="21"/>
          <w:highlight w:val="none"/>
        </w:rPr>
      </w:pPr>
      <w:r>
        <w:rPr>
          <w:rFonts w:hint="eastAsia" w:ascii="宋体" w:hAnsi="宋体" w:cs="宋体"/>
          <w:color w:val="auto"/>
          <w:szCs w:val="21"/>
          <w:highlight w:val="none"/>
        </w:rPr>
        <w:t>1、结算方式：甲方收到货物且验收合格且收到全额增值税货物销售专用发票（税率13%）后，30天内支付已实际交付货物货款总价的95%；其余作为质保金待质保期满后30天内支付，如质保期内产品出现质量问题，则待质量问题彻底解决后再支付。</w:t>
      </w:r>
    </w:p>
    <w:p w14:paraId="03BBBEC9">
      <w:pPr>
        <w:ind w:firstLine="420"/>
        <w:rPr>
          <w:rFonts w:ascii="宋体" w:hAnsi="宋体" w:cs="宋体"/>
          <w:color w:val="auto"/>
          <w:szCs w:val="21"/>
          <w:highlight w:val="none"/>
        </w:rPr>
      </w:pPr>
      <w:r>
        <w:rPr>
          <w:rFonts w:hint="eastAsia" w:ascii="宋体" w:hAnsi="宋体" w:cs="宋体"/>
          <w:color w:val="auto"/>
          <w:szCs w:val="21"/>
          <w:highlight w:val="none"/>
        </w:rPr>
        <w:t>2、履约保证金：乙方应在合同签订前向甲方提交履约保证金，形式为现金，金额为人民币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元整（合同总价的5%），并且要保证履约保证金在合同履行期间的有效性。履约保证金在验收合格后，并收到乙方开具的收据后，甲方在30个日历天内无息向乙方退还。</w:t>
      </w:r>
    </w:p>
    <w:p w14:paraId="77AD28E3">
      <w:pPr>
        <w:ind w:firstLine="420"/>
        <w:rPr>
          <w:rFonts w:ascii="宋体" w:hAnsi="宋体" w:cs="宋体"/>
          <w:color w:val="auto"/>
          <w:szCs w:val="21"/>
          <w:highlight w:val="none"/>
        </w:rPr>
      </w:pPr>
      <w:r>
        <w:rPr>
          <w:rFonts w:hint="eastAsia" w:ascii="宋体" w:hAnsi="宋体" w:cs="宋体"/>
          <w:color w:val="auto"/>
          <w:szCs w:val="21"/>
          <w:highlight w:val="none"/>
        </w:rPr>
        <w:t>3、甲方支付货款前，乙方应首先向甲方开具全额增值税专用发票，</w:t>
      </w:r>
      <w:r>
        <w:rPr>
          <w:rFonts w:hint="eastAsia" w:ascii="宋体" w:hAnsi="宋体" w:cs="宋体"/>
          <w:b/>
          <w:bCs/>
          <w:color w:val="auto"/>
          <w:szCs w:val="21"/>
          <w:highlight w:val="none"/>
        </w:rPr>
        <w:t>否则甲方有权暂停支付</w:t>
      </w:r>
      <w:r>
        <w:rPr>
          <w:rFonts w:hint="eastAsia" w:ascii="宋体" w:hAnsi="宋体" w:cs="宋体"/>
          <w:color w:val="auto"/>
          <w:szCs w:val="21"/>
          <w:highlight w:val="none"/>
        </w:rPr>
        <w:t>。甲方在满足上述付款条件并收到正确发票后</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个工作日内以转账方式支付。</w:t>
      </w:r>
    </w:p>
    <w:p w14:paraId="6AC91B43">
      <w:pPr>
        <w:ind w:firstLine="420"/>
        <w:rPr>
          <w:rFonts w:ascii="宋体" w:hAnsi="宋体" w:cs="宋体"/>
          <w:color w:val="auto"/>
          <w:szCs w:val="21"/>
          <w:highlight w:val="none"/>
        </w:rPr>
      </w:pPr>
      <w:r>
        <w:rPr>
          <w:rFonts w:hint="eastAsia" w:ascii="宋体" w:hAnsi="宋体" w:cs="宋体"/>
          <w:color w:val="auto"/>
          <w:szCs w:val="21"/>
          <w:highlight w:val="none"/>
        </w:rPr>
        <w:t>4、乙方指定收款账号：</w:t>
      </w:r>
    </w:p>
    <w:p w14:paraId="7A93B7EE">
      <w:pPr>
        <w:ind w:firstLine="420"/>
        <w:rPr>
          <w:rFonts w:ascii="宋体" w:hAnsi="宋体" w:cs="宋体"/>
          <w:color w:val="auto"/>
          <w:szCs w:val="21"/>
          <w:highlight w:val="none"/>
        </w:rPr>
      </w:pPr>
      <w:r>
        <w:rPr>
          <w:rFonts w:hint="eastAsia" w:ascii="宋体" w:hAnsi="宋体" w:cs="宋体"/>
          <w:color w:val="auto"/>
          <w:szCs w:val="21"/>
          <w:highlight w:val="none"/>
        </w:rPr>
        <w:t>户名：</w:t>
      </w:r>
    </w:p>
    <w:p w14:paraId="25B35B36">
      <w:pPr>
        <w:ind w:firstLine="420"/>
        <w:rPr>
          <w:rFonts w:ascii="宋体" w:hAnsi="宋体" w:cs="宋体"/>
          <w:color w:val="auto"/>
          <w:szCs w:val="21"/>
          <w:highlight w:val="none"/>
        </w:rPr>
      </w:pPr>
      <w:r>
        <w:rPr>
          <w:rFonts w:hint="eastAsia" w:ascii="宋体" w:hAnsi="宋体" w:cs="宋体"/>
          <w:color w:val="auto"/>
          <w:szCs w:val="21"/>
          <w:highlight w:val="none"/>
        </w:rPr>
        <w:t>账号：</w:t>
      </w:r>
    </w:p>
    <w:p w14:paraId="7A599C57">
      <w:pPr>
        <w:ind w:firstLine="420"/>
        <w:rPr>
          <w:rFonts w:ascii="宋体" w:hAnsi="宋体" w:cs="宋体"/>
          <w:color w:val="auto"/>
          <w:szCs w:val="21"/>
          <w:highlight w:val="none"/>
        </w:rPr>
      </w:pPr>
      <w:r>
        <w:rPr>
          <w:rFonts w:hint="eastAsia" w:ascii="宋体" w:hAnsi="宋体" w:cs="宋体"/>
          <w:color w:val="auto"/>
          <w:szCs w:val="21"/>
          <w:highlight w:val="none"/>
        </w:rPr>
        <w:t>开户行：</w:t>
      </w:r>
    </w:p>
    <w:p w14:paraId="6D0B3622">
      <w:pPr>
        <w:ind w:firstLine="420"/>
        <w:rPr>
          <w:rFonts w:ascii="宋体" w:hAnsi="宋体" w:cs="宋体"/>
          <w:color w:val="auto"/>
          <w:szCs w:val="21"/>
          <w:highlight w:val="none"/>
        </w:rPr>
      </w:pPr>
      <w:r>
        <w:rPr>
          <w:rFonts w:hint="eastAsia" w:ascii="宋体" w:hAnsi="宋体" w:cs="宋体"/>
          <w:color w:val="auto"/>
          <w:szCs w:val="21"/>
          <w:highlight w:val="none"/>
        </w:rPr>
        <w:t>5、甲方发票信息如下：</w:t>
      </w:r>
    </w:p>
    <w:p w14:paraId="320299B1">
      <w:pPr>
        <w:ind w:firstLine="420"/>
        <w:rPr>
          <w:rFonts w:ascii="宋体" w:hAnsi="宋体" w:cs="宋体"/>
          <w:color w:val="auto"/>
          <w:szCs w:val="21"/>
          <w:highlight w:val="none"/>
        </w:rPr>
      </w:pPr>
      <w:r>
        <w:rPr>
          <w:rFonts w:hint="eastAsia" w:ascii="宋体" w:hAnsi="宋体" w:cs="宋体"/>
          <w:color w:val="auto"/>
          <w:szCs w:val="21"/>
          <w:highlight w:val="none"/>
        </w:rPr>
        <w:t>公司名称：</w:t>
      </w:r>
    </w:p>
    <w:p w14:paraId="4A2F64CF">
      <w:pPr>
        <w:ind w:firstLine="420"/>
        <w:rPr>
          <w:rFonts w:ascii="宋体" w:hAnsi="宋体" w:cs="宋体"/>
          <w:color w:val="auto"/>
          <w:szCs w:val="21"/>
          <w:highlight w:val="none"/>
        </w:rPr>
      </w:pPr>
      <w:r>
        <w:rPr>
          <w:rFonts w:hint="eastAsia" w:ascii="宋体" w:hAnsi="宋体" w:cs="宋体"/>
          <w:color w:val="auto"/>
          <w:szCs w:val="21"/>
          <w:highlight w:val="none"/>
        </w:rPr>
        <w:t>纳税人识别号：</w:t>
      </w:r>
    </w:p>
    <w:p w14:paraId="5EF6EF5A">
      <w:pPr>
        <w:ind w:firstLine="420"/>
        <w:rPr>
          <w:rFonts w:ascii="宋体" w:hAnsi="宋体" w:cs="宋体"/>
          <w:color w:val="auto"/>
          <w:szCs w:val="21"/>
          <w:highlight w:val="none"/>
        </w:rPr>
      </w:pPr>
      <w:r>
        <w:rPr>
          <w:rFonts w:hint="eastAsia" w:ascii="宋体" w:hAnsi="宋体" w:cs="宋体"/>
          <w:color w:val="auto"/>
          <w:szCs w:val="21"/>
          <w:highlight w:val="none"/>
        </w:rPr>
        <w:t>地址、电话：</w:t>
      </w:r>
    </w:p>
    <w:p w14:paraId="784A92DD">
      <w:pPr>
        <w:ind w:firstLine="420"/>
        <w:rPr>
          <w:rFonts w:ascii="宋体" w:hAnsi="宋体" w:cs="宋体"/>
          <w:color w:val="auto"/>
          <w:szCs w:val="21"/>
          <w:highlight w:val="none"/>
        </w:rPr>
      </w:pPr>
      <w:r>
        <w:rPr>
          <w:rFonts w:hint="eastAsia" w:ascii="宋体" w:hAnsi="宋体" w:cs="宋体"/>
          <w:color w:val="auto"/>
          <w:szCs w:val="21"/>
          <w:highlight w:val="none"/>
        </w:rPr>
        <w:t>开户行及账号：</w:t>
      </w:r>
    </w:p>
    <w:p w14:paraId="05C22D22">
      <w:pPr>
        <w:ind w:firstLine="42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b/>
          <w:color w:val="auto"/>
          <w:szCs w:val="21"/>
          <w:highlight w:val="none"/>
        </w:rPr>
        <w:t>因乙方原因产生的任何违约金、赔偿金等款项，甲方均有权在应付款项中直接扣除</w:t>
      </w:r>
      <w:r>
        <w:rPr>
          <w:rFonts w:hint="eastAsia" w:ascii="宋体" w:hAnsi="宋体" w:cs="宋体"/>
          <w:color w:val="auto"/>
          <w:szCs w:val="21"/>
          <w:highlight w:val="none"/>
        </w:rPr>
        <w:t>。</w:t>
      </w:r>
    </w:p>
    <w:p w14:paraId="59D71EE4">
      <w:pPr>
        <w:ind w:firstLine="420"/>
        <w:rPr>
          <w:rFonts w:ascii="宋体" w:hAnsi="宋体" w:cs="宋体"/>
          <w:color w:val="auto"/>
          <w:szCs w:val="21"/>
          <w:highlight w:val="none"/>
        </w:rPr>
      </w:pPr>
      <w:r>
        <w:rPr>
          <w:rFonts w:hint="eastAsia" w:ascii="宋体" w:hAnsi="宋体" w:cs="宋体"/>
          <w:color w:val="auto"/>
          <w:szCs w:val="21"/>
          <w:highlight w:val="none"/>
        </w:rPr>
        <w:t>7、本合同中约定的价款或交易金额为含税金额，合同履行期间，如国家调整增值税率，则价款按不含税价不变的原则进行调整。</w:t>
      </w:r>
    </w:p>
    <w:p w14:paraId="44822081">
      <w:pPr>
        <w:ind w:firstLine="420"/>
        <w:rPr>
          <w:rFonts w:ascii="宋体" w:hAnsi="宋体" w:cs="宋体"/>
          <w:color w:val="auto"/>
          <w:szCs w:val="21"/>
          <w:highlight w:val="none"/>
        </w:rPr>
      </w:pPr>
      <w:r>
        <w:rPr>
          <w:rFonts w:hint="eastAsia" w:ascii="宋体" w:hAnsi="宋体" w:cs="宋体"/>
          <w:color w:val="auto"/>
          <w:szCs w:val="21"/>
          <w:highlight w:val="none"/>
        </w:rPr>
        <w:t>八、违约责任</w:t>
      </w:r>
    </w:p>
    <w:p w14:paraId="301BA175">
      <w:pPr>
        <w:ind w:firstLine="420"/>
        <w:rPr>
          <w:rFonts w:ascii="宋体" w:hAnsi="宋体" w:cs="宋体"/>
          <w:color w:val="auto"/>
          <w:szCs w:val="21"/>
          <w:highlight w:val="none"/>
        </w:rPr>
      </w:pPr>
      <w:r>
        <w:rPr>
          <w:rFonts w:hint="eastAsia" w:ascii="宋体" w:hAnsi="宋体" w:cs="宋体"/>
          <w:color w:val="auto"/>
          <w:szCs w:val="21"/>
          <w:highlight w:val="none"/>
        </w:rPr>
        <w:t>1、甲方延迟支付货款的，每延迟一日，甲方应当支付给乙方延迟支付部分货款金额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%的违约金。</w:t>
      </w:r>
    </w:p>
    <w:p w14:paraId="58CBAD0D">
      <w:pPr>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乙方未在合同约定的期限内完成交货并经甲方验收合格的，每逾期一日，乙方应当支付给甲方逾期交货部分货款总金额</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%的违约金；逾期交付超过</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天的，甲方有权单方解除合同，且乙方应返还甲方全部已付货款，并支付合同金额</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%的违约金。因逾期交货造成甲方不能正常生产经营的，乙方还应当赔偿因此给甲方造成的一切经济损失</w:t>
      </w:r>
      <w:r>
        <w:rPr>
          <w:rFonts w:hint="eastAsia" w:ascii="宋体" w:hAnsi="宋体" w:cs="宋体"/>
          <w:color w:val="auto"/>
          <w:szCs w:val="21"/>
          <w:highlight w:val="none"/>
        </w:rPr>
        <w:t>。</w:t>
      </w:r>
    </w:p>
    <w:p w14:paraId="7A256471">
      <w:pPr>
        <w:ind w:firstLine="42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乙方交付的产品</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次（含本数）以上不符合本合同约定的质量要求的，甲方有权单方解除本合同，并有权要求乙方支付合同金额</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%的违约金</w:t>
      </w:r>
      <w:r>
        <w:rPr>
          <w:rFonts w:hint="eastAsia" w:ascii="宋体" w:hAnsi="宋体" w:cs="宋体"/>
          <w:color w:val="auto"/>
          <w:szCs w:val="21"/>
          <w:highlight w:val="none"/>
        </w:rPr>
        <w:t>。</w:t>
      </w:r>
    </w:p>
    <w:p w14:paraId="1DACCE7A">
      <w:pPr>
        <w:ind w:firstLine="42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b/>
          <w:color w:val="auto"/>
          <w:szCs w:val="21"/>
          <w:highlight w:val="none"/>
        </w:rPr>
        <w:t>如乙方交付的产品以次充好、假冒伪劣、掺假掺杂、无权销售</w:t>
      </w:r>
      <w:r>
        <w:rPr>
          <w:rFonts w:hint="eastAsia" w:ascii="宋体" w:hAnsi="宋体" w:cs="宋体"/>
          <w:b/>
          <w:bCs/>
          <w:color w:val="auto"/>
          <w:szCs w:val="21"/>
          <w:highlight w:val="none"/>
        </w:rPr>
        <w:t>或存在其他欺诈行为</w:t>
      </w:r>
      <w:r>
        <w:rPr>
          <w:rFonts w:hint="eastAsia" w:ascii="宋体" w:hAnsi="宋体" w:cs="宋体"/>
          <w:b/>
          <w:color w:val="auto"/>
          <w:szCs w:val="21"/>
          <w:highlight w:val="none"/>
        </w:rPr>
        <w:t>的，甲方有权单方解除合同，并有权要求乙方支付合同金额三倍的赔偿金，因此造成甲方人员、财产、生产经营损失的，乙方还需赔偿给甲方造成的一切损失（包括直接损失、可得利益的损失以及主张权利的费用）</w:t>
      </w:r>
      <w:r>
        <w:rPr>
          <w:rFonts w:hint="eastAsia" w:ascii="宋体" w:hAnsi="宋体" w:cs="宋体"/>
          <w:color w:val="auto"/>
          <w:szCs w:val="21"/>
          <w:highlight w:val="none"/>
        </w:rPr>
        <w:t>。</w:t>
      </w:r>
    </w:p>
    <w:p w14:paraId="15642FAD">
      <w:pPr>
        <w:ind w:firstLine="42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b/>
          <w:color w:val="auto"/>
          <w:szCs w:val="21"/>
          <w:highlight w:val="none"/>
        </w:rPr>
        <w:t>乙方交付的产品侵犯他人知识产权的，则由乙方承担全部责任，如因此使甲方承担责任的，乙方应赔偿甲方所遭受的损失</w:t>
      </w:r>
      <w:r>
        <w:rPr>
          <w:rFonts w:hint="eastAsia" w:ascii="宋体" w:hAnsi="宋体" w:cs="宋体"/>
          <w:color w:val="auto"/>
          <w:szCs w:val="21"/>
          <w:highlight w:val="none"/>
        </w:rPr>
        <w:t>。</w:t>
      </w:r>
    </w:p>
    <w:p w14:paraId="1B7CE23D">
      <w:pPr>
        <w:ind w:firstLine="420"/>
        <w:rPr>
          <w:rFonts w:ascii="宋体" w:hAnsi="宋体" w:cs="宋体"/>
          <w:b/>
          <w:color w:val="auto"/>
          <w:szCs w:val="21"/>
          <w:highlight w:val="none"/>
        </w:rPr>
      </w:pPr>
      <w:r>
        <w:rPr>
          <w:rFonts w:hint="eastAsia" w:ascii="宋体" w:hAnsi="宋体" w:cs="宋体"/>
          <w:color w:val="auto"/>
          <w:szCs w:val="21"/>
          <w:highlight w:val="none"/>
        </w:rPr>
        <w:t>6、</w:t>
      </w:r>
      <w:r>
        <w:rPr>
          <w:rFonts w:hint="eastAsia" w:ascii="宋体" w:hAnsi="宋体" w:cs="宋体"/>
          <w:b/>
          <w:color w:val="auto"/>
          <w:szCs w:val="21"/>
          <w:highlight w:val="none"/>
        </w:rPr>
        <w:t>合同任何一方违约，除应承担违约责任外，还应承担守约方实现债权所产生的费用，包括但不限于诉讼费、公证费、律师费、交通费、鉴定费、执行费等</w:t>
      </w:r>
      <w:r>
        <w:rPr>
          <w:rFonts w:hint="eastAsia" w:ascii="宋体" w:hAnsi="宋体" w:cs="宋体"/>
          <w:color w:val="auto"/>
          <w:szCs w:val="21"/>
          <w:highlight w:val="none"/>
        </w:rPr>
        <w:t>。</w:t>
      </w:r>
    </w:p>
    <w:p w14:paraId="74EFA6BD">
      <w:pPr>
        <w:numPr>
          <w:ilvl w:val="0"/>
          <w:numId w:val="2"/>
        </w:numPr>
        <w:ind w:firstLine="420"/>
        <w:rPr>
          <w:rFonts w:ascii="宋体" w:hAnsi="宋体" w:cs="宋体"/>
          <w:color w:val="auto"/>
          <w:szCs w:val="21"/>
          <w:highlight w:val="none"/>
        </w:rPr>
      </w:pPr>
      <w:r>
        <w:rPr>
          <w:rFonts w:hint="eastAsia" w:ascii="宋体" w:hAnsi="宋体" w:cs="宋体"/>
          <w:color w:val="auto"/>
          <w:szCs w:val="21"/>
          <w:highlight w:val="none"/>
        </w:rPr>
        <w:t>纠纷处理</w:t>
      </w:r>
    </w:p>
    <w:p w14:paraId="2C8B7CE9">
      <w:pPr>
        <w:ind w:firstLine="420"/>
        <w:rPr>
          <w:rFonts w:ascii="宋体" w:hAnsi="宋体" w:cs="宋体"/>
          <w:color w:val="auto"/>
          <w:szCs w:val="21"/>
          <w:highlight w:val="none"/>
        </w:rPr>
      </w:pPr>
      <w:r>
        <w:rPr>
          <w:rFonts w:hint="eastAsia" w:ascii="宋体" w:hAnsi="宋体" w:cs="宋体"/>
          <w:color w:val="auto"/>
          <w:szCs w:val="21"/>
          <w:highlight w:val="none"/>
        </w:rPr>
        <w:t>因本合同发生的，或者与本合同有关的全部争议，双方应友好协商解决，协商不成的，提交甲方所在地人民法院诉讼解决。</w:t>
      </w:r>
    </w:p>
    <w:p w14:paraId="024072C7">
      <w:pPr>
        <w:ind w:firstLine="420"/>
        <w:rPr>
          <w:rFonts w:ascii="宋体" w:hAnsi="宋体" w:cs="宋体"/>
          <w:color w:val="auto"/>
          <w:szCs w:val="21"/>
          <w:highlight w:val="none"/>
        </w:rPr>
      </w:pPr>
      <w:r>
        <w:rPr>
          <w:rFonts w:hint="eastAsia" w:ascii="宋体" w:hAnsi="宋体" w:cs="宋体"/>
          <w:color w:val="auto"/>
          <w:szCs w:val="21"/>
          <w:highlight w:val="none"/>
        </w:rPr>
        <w:t>十、其他约定事项</w:t>
      </w:r>
    </w:p>
    <w:p w14:paraId="12166A17">
      <w:pPr>
        <w:ind w:firstLine="420"/>
        <w:rPr>
          <w:rFonts w:ascii="宋体" w:hAnsi="宋体" w:cs="宋体"/>
          <w:color w:val="auto"/>
          <w:szCs w:val="21"/>
          <w:highlight w:val="none"/>
        </w:rPr>
      </w:pPr>
      <w:r>
        <w:rPr>
          <w:rFonts w:hint="eastAsia" w:ascii="宋体" w:hAnsi="宋体" w:cs="宋体"/>
          <w:color w:val="auto"/>
          <w:szCs w:val="21"/>
          <w:highlight w:val="none"/>
        </w:rPr>
        <w:t>1、乙方应当在签订合同时向甲方提供其合法经营的证明文件。</w:t>
      </w:r>
    </w:p>
    <w:p w14:paraId="59981A24">
      <w:pPr>
        <w:ind w:firstLine="420"/>
        <w:rPr>
          <w:rFonts w:ascii="宋体" w:hAnsi="宋体" w:cs="宋体"/>
          <w:color w:val="auto"/>
          <w:szCs w:val="21"/>
          <w:highlight w:val="none"/>
        </w:rPr>
      </w:pPr>
      <w:r>
        <w:rPr>
          <w:rFonts w:hint="eastAsia" w:ascii="宋体" w:hAnsi="宋体" w:cs="宋体"/>
          <w:color w:val="auto"/>
          <w:szCs w:val="21"/>
          <w:highlight w:val="none"/>
        </w:rPr>
        <w:t>2、每批次同种产品乙方应提供产品的合格证、检测报告各一份。</w:t>
      </w:r>
    </w:p>
    <w:p w14:paraId="780FD3AC">
      <w:pPr>
        <w:ind w:firstLine="420"/>
        <w:rPr>
          <w:rFonts w:ascii="宋体" w:hAnsi="宋体" w:cs="宋体"/>
          <w:color w:val="auto"/>
          <w:szCs w:val="21"/>
          <w:highlight w:val="none"/>
        </w:rPr>
      </w:pPr>
      <w:r>
        <w:rPr>
          <w:rFonts w:hint="eastAsia" w:ascii="宋体" w:hAnsi="宋体" w:cs="宋体"/>
          <w:color w:val="auto"/>
          <w:szCs w:val="21"/>
          <w:highlight w:val="none"/>
        </w:rPr>
        <w:t>3、采购项目招投标文件构成本合同附件，与本合同具有同等法律效力，当招投标文件与本合同相抵触时，以本合同为准。</w:t>
      </w:r>
    </w:p>
    <w:p w14:paraId="01147331">
      <w:pPr>
        <w:ind w:firstLine="420"/>
        <w:rPr>
          <w:rFonts w:ascii="宋体" w:hAnsi="宋体" w:cs="宋体"/>
          <w:color w:val="auto"/>
          <w:szCs w:val="21"/>
          <w:highlight w:val="none"/>
        </w:rPr>
      </w:pPr>
      <w:r>
        <w:rPr>
          <w:rFonts w:hint="eastAsia" w:ascii="宋体" w:hAnsi="宋体" w:cs="宋体"/>
          <w:color w:val="auto"/>
          <w:szCs w:val="21"/>
          <w:highlight w:val="none"/>
        </w:rPr>
        <w:t>十一、本合同自双方签字盖章之日起生效。</w:t>
      </w:r>
    </w:p>
    <w:p w14:paraId="6D97AFA3">
      <w:pPr>
        <w:ind w:firstLine="420"/>
        <w:rPr>
          <w:rFonts w:ascii="宋体" w:hAnsi="宋体" w:cs="宋体"/>
          <w:color w:val="auto"/>
          <w:szCs w:val="21"/>
          <w:highlight w:val="none"/>
        </w:rPr>
      </w:pPr>
      <w:r>
        <w:rPr>
          <w:rFonts w:hint="eastAsia" w:ascii="宋体" w:hAnsi="宋体" w:cs="宋体"/>
          <w:color w:val="auto"/>
          <w:szCs w:val="21"/>
          <w:highlight w:val="none"/>
        </w:rPr>
        <w:t>十二、本合同一式    份，甲方    份，乙方    份。</w:t>
      </w:r>
    </w:p>
    <w:p w14:paraId="6813A36E">
      <w:pPr>
        <w:ind w:firstLine="420"/>
        <w:rPr>
          <w:rFonts w:ascii="宋体" w:hAnsi="宋体" w:cs="宋体"/>
          <w:color w:val="auto"/>
          <w:szCs w:val="21"/>
          <w:highlight w:val="none"/>
        </w:rPr>
      </w:pPr>
      <w:r>
        <w:rPr>
          <w:rFonts w:hint="eastAsia" w:ascii="宋体" w:hAnsi="宋体" w:cs="宋体"/>
          <w:color w:val="auto"/>
          <w:szCs w:val="21"/>
          <w:highlight w:val="none"/>
        </w:rPr>
        <w:t>附件1：廉洁协议</w:t>
      </w:r>
    </w:p>
    <w:p w14:paraId="04EE7F46">
      <w:pPr>
        <w:ind w:firstLine="420"/>
        <w:rPr>
          <w:rFonts w:ascii="宋体" w:hAnsi="宋体" w:cs="宋体"/>
          <w:color w:val="auto"/>
          <w:szCs w:val="21"/>
          <w:highlight w:val="none"/>
        </w:rPr>
      </w:pPr>
      <w:r>
        <w:rPr>
          <w:rFonts w:hint="eastAsia" w:ascii="宋体" w:hAnsi="宋体" w:cs="宋体"/>
          <w:color w:val="auto"/>
          <w:szCs w:val="21"/>
          <w:highlight w:val="none"/>
        </w:rPr>
        <w:t>附件2：合作伙伴合规承诺函</w:t>
      </w:r>
    </w:p>
    <w:p w14:paraId="7FA0E708">
      <w:pPr>
        <w:ind w:firstLine="420"/>
        <w:rPr>
          <w:rFonts w:ascii="宋体" w:hAnsi="宋体" w:cs="宋体"/>
          <w:color w:val="auto"/>
          <w:szCs w:val="21"/>
          <w:highlight w:val="none"/>
        </w:rPr>
      </w:pPr>
      <w:r>
        <w:rPr>
          <w:rFonts w:hint="eastAsia" w:ascii="宋体" w:hAnsi="宋体" w:cs="宋体"/>
          <w:color w:val="auto"/>
          <w:szCs w:val="21"/>
          <w:highlight w:val="none"/>
        </w:rPr>
        <w:t>附件3：安全生产管理协议</w:t>
      </w:r>
    </w:p>
    <w:p w14:paraId="0A223535">
      <w:pPr>
        <w:ind w:firstLine="420"/>
        <w:rPr>
          <w:rFonts w:ascii="宋体" w:hAnsi="宋体" w:cs="宋体"/>
          <w:color w:val="auto"/>
          <w:szCs w:val="21"/>
          <w:highlight w:val="none"/>
        </w:rPr>
      </w:pPr>
      <w:r>
        <w:rPr>
          <w:rFonts w:hint="eastAsia" w:ascii="宋体" w:hAnsi="宋体" w:cs="宋体"/>
          <w:color w:val="auto"/>
          <w:szCs w:val="21"/>
          <w:highlight w:val="none"/>
        </w:rPr>
        <w:t>附件4：消防安全管理协议</w:t>
      </w:r>
    </w:p>
    <w:p w14:paraId="0CB3B3A6">
      <w:pPr>
        <w:ind w:firstLine="420"/>
        <w:rPr>
          <w:rFonts w:ascii="宋体" w:hAnsi="宋体" w:cs="宋体"/>
          <w:color w:val="auto"/>
          <w:szCs w:val="21"/>
          <w:highlight w:val="none"/>
        </w:rPr>
      </w:pPr>
      <w:r>
        <w:rPr>
          <w:rFonts w:hint="eastAsia" w:ascii="宋体" w:hAnsi="宋体" w:cs="宋体"/>
          <w:color w:val="auto"/>
          <w:szCs w:val="21"/>
          <w:highlight w:val="none"/>
        </w:rPr>
        <w:t>附件5：环境保护管理协议</w:t>
      </w:r>
    </w:p>
    <w:p w14:paraId="042CC516">
      <w:pPr>
        <w:ind w:firstLine="420"/>
        <w:rPr>
          <w:rFonts w:ascii="宋体" w:hAnsi="宋体" w:cs="宋体"/>
          <w:color w:val="auto"/>
          <w:szCs w:val="21"/>
          <w:highlight w:val="none"/>
        </w:rPr>
      </w:pPr>
      <w:r>
        <w:rPr>
          <w:rFonts w:hint="eastAsia" w:ascii="宋体" w:hAnsi="宋体" w:cs="宋体"/>
          <w:color w:val="auto"/>
          <w:szCs w:val="21"/>
          <w:highlight w:val="none"/>
        </w:rPr>
        <w:t>附件6：相关方入港安全告知书</w:t>
      </w:r>
    </w:p>
    <w:p w14:paraId="4C994419">
      <w:pPr>
        <w:ind w:firstLine="420"/>
        <w:rPr>
          <w:rFonts w:ascii="宋体" w:hAnsi="宋体" w:cs="宋体"/>
          <w:color w:val="auto"/>
          <w:szCs w:val="21"/>
          <w:highlight w:val="none"/>
        </w:rPr>
      </w:pPr>
    </w:p>
    <w:p w14:paraId="7EA05804">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甲方（盖章）：                                乙方（盖章）：</w:t>
      </w:r>
    </w:p>
    <w:p w14:paraId="6AF5AB91">
      <w:pPr>
        <w:adjustRightInd w:val="0"/>
        <w:snapToGrid w:val="0"/>
        <w:ind w:firstLine="420"/>
        <w:rPr>
          <w:rFonts w:ascii="宋体" w:hAnsi="宋体" w:cs="宋体"/>
          <w:color w:val="auto"/>
          <w:szCs w:val="21"/>
          <w:highlight w:val="none"/>
        </w:rPr>
      </w:pPr>
    </w:p>
    <w:p w14:paraId="66DABFA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代表：                                       代表：</w:t>
      </w:r>
    </w:p>
    <w:p w14:paraId="193CE4C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年    月    日                               年    月    日</w:t>
      </w:r>
    </w:p>
    <w:p w14:paraId="3E24B5E4">
      <w:pPr>
        <w:ind w:firstLine="0" w:firstLineChars="0"/>
        <w:jc w:val="left"/>
        <w:rPr>
          <w:rFonts w:ascii="宋体" w:hAnsi="宋体" w:cs="宋体"/>
          <w:bCs/>
          <w:color w:val="auto"/>
          <w:szCs w:val="21"/>
          <w:highlight w:val="none"/>
          <w:u w:val="single"/>
        </w:rPr>
      </w:pPr>
      <w:r>
        <w:rPr>
          <w:rFonts w:hint="eastAsia" w:ascii="宋体" w:hAnsi="宋体" w:cs="宋体"/>
          <w:color w:val="auto"/>
          <w:highlight w:val="none"/>
        </w:rPr>
        <w:br w:type="page"/>
      </w:r>
      <w:r>
        <w:rPr>
          <w:rFonts w:hint="eastAsia" w:ascii="宋体" w:hAnsi="宋体" w:cs="宋体"/>
          <w:b/>
          <w:color w:val="auto"/>
          <w:szCs w:val="21"/>
          <w:highlight w:val="none"/>
          <w:u w:val="single"/>
        </w:rPr>
        <w:t>附件1：</w:t>
      </w:r>
    </w:p>
    <w:p w14:paraId="0A2B7A69">
      <w:pPr>
        <w:ind w:firstLine="0" w:firstLineChars="0"/>
        <w:jc w:val="center"/>
        <w:outlineLvl w:val="2"/>
        <w:rPr>
          <w:rFonts w:ascii="宋体" w:hAnsi="宋体" w:cs="宋体"/>
          <w:color w:val="auto"/>
          <w:sz w:val="28"/>
          <w:szCs w:val="28"/>
          <w:highlight w:val="none"/>
        </w:rPr>
      </w:pPr>
      <w:r>
        <w:rPr>
          <w:rFonts w:hint="eastAsia" w:ascii="宋体" w:hAnsi="宋体" w:cs="宋体"/>
          <w:b/>
          <w:bCs/>
          <w:color w:val="auto"/>
          <w:sz w:val="28"/>
          <w:szCs w:val="36"/>
          <w:highlight w:val="none"/>
        </w:rPr>
        <w:t>廉洁协议</w:t>
      </w:r>
    </w:p>
    <w:p w14:paraId="5EFE055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甲方：温州港南岳港务有限公司</w:t>
      </w:r>
    </w:p>
    <w:p w14:paraId="55640ADA">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乙方：</w:t>
      </w:r>
    </w:p>
    <w:p w14:paraId="42E7203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为了贯彻落实党和国家关于加强党风廉政建设的有关精神，规范甲乙双方从业人员的购销行为，防止不正当行为和腐败现象的发生，促进双方合作共赢、健康发展，经双方协商一致，共同承诺遵守以下条约：</w:t>
      </w:r>
    </w:p>
    <w:p w14:paraId="5B448F04">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第一条  甲乙双方共同的责任：</w:t>
      </w:r>
    </w:p>
    <w:p w14:paraId="0CF0E2A7">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（一）双方应共同遵守“公开、公平、公正和竞争、择优、诚信”的企业采购原则，不得损害国家和对方的合法利益。</w:t>
      </w:r>
    </w:p>
    <w:p w14:paraId="6B94F79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（二）双方必须经常教育各自的从业人员严格遵守国家法律法规，遵守党的纪律和各项廉洁从业规定，遵守社会公德和职业道德， 防止一切违法违纪行为的发生。</w:t>
      </w:r>
    </w:p>
    <w:p w14:paraId="1CDBF39E">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（三）涉及发生不廉洁行为，一方有查处的权力，另一方必须支持、配合对方查处。双方不得拒绝有关部门依法实施的监督检查，不得提供虚假情况，不得恶意投诉。</w:t>
      </w:r>
    </w:p>
    <w:p w14:paraId="6B07D7D4">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第二条  甲方责任：</w:t>
      </w:r>
    </w:p>
    <w:p w14:paraId="4FBEEDB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一）甲方从业人员不得索要或接受乙方的贵重礼品、礼金和各种有价证券、支付凭证及其他财物；不得索要或接受乙方任何好处费及回扣；不得在乙方报销应由甲方从业人员个人支付的各种费用；不得向乙方购买用于个人且低于市场价格的商品和物资。</w:t>
      </w:r>
    </w:p>
    <w:p w14:paraId="122E1BC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（二）甲方从业人员不得参加乙方提供的有可能影响公正执行业务的宴请以及旅游、健身、娱乐等活动安排。</w:t>
      </w:r>
    </w:p>
    <w:p w14:paraId="0273390F">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（三）甲方招标、评标人员在招标、评标过程中不得私下接触乙方，不得泄露任何可能影响公平竞争的有关招投标情况；不得干预、影响开评标过程及结果。</w:t>
      </w:r>
    </w:p>
    <w:p w14:paraId="33F83A9C">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（四）甲方从业人员不得向乙方介绍近亲属及其他共同利益关系人参与同乙方合同有关的业务，不得为近亲属及其他共同利益关系人向乙方推销物资、索取或接受财物。</w:t>
      </w:r>
    </w:p>
    <w:p w14:paraId="557B3E9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第三条  乙方的责任：</w:t>
      </w:r>
    </w:p>
    <w:p w14:paraId="3807443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（一）乙方不以任何理由向甲方从业人员及其近亲属送礼、行贿及给予回扣；不得报销应由甲方从业人员个人支付的各种费用；不得向甲方从业人员个人销售低于市场价格的商品和物资。</w:t>
      </w:r>
    </w:p>
    <w:p w14:paraId="72346B2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（二）乙方不得向甲方从业人员提供有可能影响公正执行业务的宴请以及旅游、健身、娱乐等活动安排。</w:t>
      </w:r>
    </w:p>
    <w:p w14:paraId="1ABA83FB">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（三）乙方不得与其他投标人进行串通谋取中标；未经甲方许可不得将承揽的采购项目转包或违法分包给其他单位。</w:t>
      </w:r>
    </w:p>
    <w:p w14:paraId="78D007F3">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（四）乙方单位发现甲方从业人员有违反本公约第二条规定时有权予以拒绝，并有权向有关各方党组织及其上级机关反映和举报。</w:t>
      </w:r>
    </w:p>
    <w:p w14:paraId="095362B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第四条  违约责任：</w:t>
      </w:r>
    </w:p>
    <w:p w14:paraId="1CA9CC08">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一）甲方从业人员有违反本公约第一条和第二条规定的，由甲方依据有关规定进行处理；涉嫌犯罪的，移交司法机关追究刑事责任；乙方如主动、及时向甲方告知甲方人员有违反本公约第一条和第二条规定的，甲方将保证其正常的业务往来而不受到负面影响。</w:t>
      </w:r>
    </w:p>
    <w:p w14:paraId="71B6CFD8">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（二）乙方及其工作人员违反本公约第一条和第三条规定的，视情节轻重作出必要的处理，甲方有权决定是否终止有关合同，为此而造成的一切损失由乙方承担；同时取消乙方在甲方的合格供应商资格。</w:t>
      </w:r>
    </w:p>
    <w:p w14:paraId="198A22D6">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第五条  甲方与乙方签订合同后，签订本公约，本公约自双方盖章之日起生效。</w:t>
      </w:r>
    </w:p>
    <w:p w14:paraId="6EC33931">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第六条  本公约一式两份，甲乙双方各执一份。</w:t>
      </w:r>
    </w:p>
    <w:p w14:paraId="50488768">
      <w:pPr>
        <w:adjustRightInd w:val="0"/>
        <w:snapToGrid w:val="0"/>
        <w:ind w:firstLine="420"/>
        <w:rPr>
          <w:rFonts w:ascii="宋体" w:hAnsi="宋体" w:cs="宋体"/>
          <w:color w:val="auto"/>
          <w:szCs w:val="21"/>
          <w:highlight w:val="none"/>
        </w:rPr>
      </w:pPr>
    </w:p>
    <w:p w14:paraId="60A6E445">
      <w:pPr>
        <w:adjustRightInd w:val="0"/>
        <w:snapToGrid w:val="0"/>
        <w:ind w:firstLine="420"/>
        <w:rPr>
          <w:rFonts w:ascii="宋体" w:hAnsi="宋体" w:cs="宋体"/>
          <w:color w:val="auto"/>
          <w:szCs w:val="21"/>
          <w:highlight w:val="none"/>
        </w:rPr>
      </w:pPr>
      <w:r>
        <w:rPr>
          <w:rFonts w:hint="eastAsia" w:ascii="宋体" w:hAnsi="宋体" w:cs="宋体"/>
          <w:color w:val="auto"/>
          <w:szCs w:val="21"/>
          <w:highlight w:val="none"/>
        </w:rPr>
        <w:t>甲方：                                          乙方：</w:t>
      </w:r>
    </w:p>
    <w:p w14:paraId="3BF9F4B2">
      <w:pPr>
        <w:adjustRightInd w:val="0"/>
        <w:snapToGrid w:val="0"/>
        <w:ind w:firstLine="1470" w:firstLineChars="700"/>
        <w:rPr>
          <w:rFonts w:ascii="宋体" w:hAnsi="宋体" w:cs="宋体"/>
          <w:color w:val="auto"/>
          <w:szCs w:val="21"/>
          <w:highlight w:val="none"/>
        </w:rPr>
      </w:pPr>
      <w:r>
        <w:rPr>
          <w:rFonts w:hint="eastAsia" w:ascii="宋体" w:hAnsi="宋体" w:cs="宋体"/>
          <w:color w:val="auto"/>
          <w:szCs w:val="21"/>
          <w:highlight w:val="none"/>
        </w:rPr>
        <w:t>（盖章）                                      （盖章）</w:t>
      </w:r>
    </w:p>
    <w:p w14:paraId="35A4894A">
      <w:pPr>
        <w:adjustRightInd w:val="0"/>
        <w:snapToGrid w:val="0"/>
        <w:ind w:firstLine="420"/>
        <w:rPr>
          <w:rFonts w:ascii="宋体" w:hAnsi="宋体" w:cs="宋体"/>
          <w:color w:val="auto"/>
          <w:szCs w:val="21"/>
          <w:highlight w:val="none"/>
        </w:rPr>
      </w:pPr>
    </w:p>
    <w:p w14:paraId="1FE28CDC">
      <w:pPr>
        <w:adjustRightInd w:val="0"/>
        <w:snapToGrid w:val="0"/>
        <w:ind w:firstLine="420"/>
        <w:jc w:val="right"/>
        <w:rPr>
          <w:rFonts w:ascii="宋体" w:hAnsi="宋体" w:cs="宋体"/>
          <w:color w:val="auto"/>
          <w:szCs w:val="21"/>
          <w:highlight w:val="none"/>
        </w:rPr>
      </w:pPr>
      <w:r>
        <w:rPr>
          <w:rFonts w:hint="eastAsia" w:ascii="宋体" w:hAnsi="宋体" w:cs="宋体"/>
          <w:color w:val="auto"/>
          <w:szCs w:val="21"/>
          <w:highlight w:val="none"/>
        </w:rPr>
        <w:t>年   月   日</w:t>
      </w:r>
    </w:p>
    <w:p w14:paraId="5C9F3366">
      <w:pPr>
        <w:ind w:firstLine="0" w:firstLineChars="0"/>
        <w:jc w:val="left"/>
        <w:rPr>
          <w:rFonts w:ascii="宋体" w:hAnsi="宋体" w:cs="宋体"/>
          <w:bCs/>
          <w:color w:val="auto"/>
          <w:szCs w:val="21"/>
          <w:highlight w:val="none"/>
          <w:u w:val="single"/>
        </w:rPr>
      </w:pPr>
      <w:r>
        <w:rPr>
          <w:rFonts w:hint="eastAsia" w:ascii="宋体" w:hAnsi="宋体" w:cs="宋体"/>
          <w:bCs/>
          <w:color w:val="auto"/>
          <w:szCs w:val="21"/>
          <w:highlight w:val="none"/>
          <w:u w:val="single"/>
        </w:rPr>
        <w:br w:type="page"/>
      </w:r>
      <w:r>
        <w:rPr>
          <w:rFonts w:hint="eastAsia" w:ascii="宋体" w:hAnsi="宋体" w:cs="宋体"/>
          <w:b/>
          <w:color w:val="auto"/>
          <w:szCs w:val="21"/>
          <w:highlight w:val="none"/>
          <w:u w:val="single"/>
        </w:rPr>
        <w:t>附件2：</w:t>
      </w:r>
    </w:p>
    <w:p w14:paraId="446AC6B6">
      <w:pPr>
        <w:spacing w:line="440" w:lineRule="exact"/>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温州港南岳港务有限公司</w:t>
      </w:r>
    </w:p>
    <w:p w14:paraId="12E0B3CE">
      <w:pPr>
        <w:spacing w:line="440" w:lineRule="exact"/>
        <w:ind w:firstLine="0" w:firstLineChars="0"/>
        <w:jc w:val="center"/>
        <w:outlineLvl w:val="2"/>
        <w:rPr>
          <w:rFonts w:ascii="宋体" w:hAnsi="宋体" w:cs="宋体"/>
          <w:b/>
          <w:bCs/>
          <w:color w:val="auto"/>
          <w:sz w:val="28"/>
          <w:szCs w:val="28"/>
          <w:highlight w:val="none"/>
        </w:rPr>
      </w:pPr>
      <w:r>
        <w:rPr>
          <w:rFonts w:hint="eastAsia" w:ascii="宋体" w:hAnsi="宋体" w:cs="宋体"/>
          <w:b/>
          <w:bCs/>
          <w:color w:val="auto"/>
          <w:sz w:val="28"/>
          <w:szCs w:val="28"/>
          <w:highlight w:val="none"/>
        </w:rPr>
        <w:t>合作伙伴合规承诺函</w:t>
      </w:r>
    </w:p>
    <w:p w14:paraId="6EA63203">
      <w:pPr>
        <w:spacing w:line="440" w:lineRule="exact"/>
        <w:ind w:firstLine="420"/>
        <w:rPr>
          <w:rFonts w:ascii="宋体" w:hAnsi="宋体" w:cs="宋体"/>
          <w:color w:val="auto"/>
          <w:highlight w:val="none"/>
        </w:rPr>
      </w:pPr>
      <w:r>
        <w:rPr>
          <w:rFonts w:hint="eastAsia" w:ascii="宋体" w:hAnsi="宋体" w:cs="宋体"/>
          <w:color w:val="auto"/>
          <w:highlight w:val="none"/>
        </w:rPr>
        <w:t>为配合</w:t>
      </w:r>
      <w:r>
        <w:rPr>
          <w:rFonts w:hint="eastAsia" w:ascii="宋体" w:hAnsi="宋体" w:cs="宋体"/>
          <w:color w:val="auto"/>
          <w:highlight w:val="none"/>
          <w:u w:val="single"/>
        </w:rPr>
        <w:t xml:space="preserve">               </w:t>
      </w:r>
      <w:r>
        <w:rPr>
          <w:rFonts w:hint="eastAsia" w:ascii="宋体" w:hAnsi="宋体" w:cs="宋体"/>
          <w:color w:val="auto"/>
          <w:highlight w:val="none"/>
        </w:rPr>
        <w:t>公司合规管理要求，规范本公司市场交易行为，促进公平、公正交易，本公司特作出以下承诺：</w:t>
      </w:r>
    </w:p>
    <w:p w14:paraId="111C5ABE">
      <w:pPr>
        <w:spacing w:line="440" w:lineRule="exact"/>
        <w:ind w:firstLine="420"/>
        <w:rPr>
          <w:rFonts w:ascii="宋体" w:hAnsi="宋体" w:cs="宋体"/>
          <w:color w:val="auto"/>
          <w:highlight w:val="none"/>
        </w:rPr>
      </w:pPr>
      <w:r>
        <w:rPr>
          <w:rFonts w:hint="eastAsia" w:ascii="宋体" w:hAnsi="宋体" w:cs="宋体"/>
          <w:color w:val="auto"/>
          <w:highlight w:val="none"/>
        </w:rPr>
        <w:t>1.本公司理解</w:t>
      </w:r>
      <w:r>
        <w:rPr>
          <w:rFonts w:hint="eastAsia" w:ascii="宋体" w:hAnsi="宋体" w:cs="宋体"/>
          <w:color w:val="auto"/>
          <w:highlight w:val="none"/>
          <w:u w:val="single"/>
        </w:rPr>
        <w:t xml:space="preserve">              </w:t>
      </w:r>
      <w:r>
        <w:rPr>
          <w:rFonts w:hint="eastAsia" w:ascii="宋体" w:hAnsi="宋体" w:cs="宋体"/>
          <w:color w:val="auto"/>
          <w:highlight w:val="none"/>
        </w:rPr>
        <w:t>公司合规管理需求，在合作范围内遵守</w:t>
      </w:r>
      <w:r>
        <w:rPr>
          <w:rFonts w:hint="eastAsia" w:ascii="宋体" w:hAnsi="宋体" w:cs="宋体"/>
          <w:color w:val="auto"/>
          <w:highlight w:val="none"/>
          <w:u w:val="single"/>
        </w:rPr>
        <w:t xml:space="preserve">             </w:t>
      </w:r>
      <w:r>
        <w:rPr>
          <w:rFonts w:hint="eastAsia" w:ascii="宋体" w:hAnsi="宋体" w:cs="宋体"/>
          <w:color w:val="auto"/>
          <w:highlight w:val="none"/>
        </w:rPr>
        <w:t>公司对第三方的合规管理要求。</w:t>
      </w:r>
    </w:p>
    <w:p w14:paraId="5CF2CD67">
      <w:pPr>
        <w:spacing w:line="440" w:lineRule="exact"/>
        <w:ind w:firstLine="420"/>
        <w:rPr>
          <w:rFonts w:ascii="宋体" w:hAnsi="宋体" w:cs="宋体"/>
          <w:color w:val="auto"/>
          <w:highlight w:val="none"/>
        </w:rPr>
      </w:pPr>
      <w:r>
        <w:rPr>
          <w:rFonts w:hint="eastAsia" w:ascii="宋体" w:hAnsi="宋体" w:cs="宋体"/>
          <w:color w:val="auto"/>
          <w:highlight w:val="none"/>
        </w:rPr>
        <w:t>2.本公司具有合同订立的主体资格，具有良好的资信和履约能力，能够有效履行合同义务。</w:t>
      </w:r>
    </w:p>
    <w:p w14:paraId="4E9561E1">
      <w:pPr>
        <w:spacing w:line="440" w:lineRule="exact"/>
        <w:ind w:firstLine="420"/>
        <w:rPr>
          <w:rFonts w:ascii="宋体" w:hAnsi="宋体" w:cs="宋体"/>
          <w:color w:val="auto"/>
          <w:highlight w:val="none"/>
        </w:rPr>
      </w:pPr>
      <w:r>
        <w:rPr>
          <w:rFonts w:hint="eastAsia" w:ascii="宋体" w:hAnsi="宋体" w:cs="宋体"/>
          <w:color w:val="auto"/>
          <w:highlight w:val="none"/>
        </w:rPr>
        <w:t>3.本公司严格遵守国家法律法规，恪守商业道德和职业道德规范，不从事并抵制任何不廉洁行为，严格履行以下合规义务：</w:t>
      </w:r>
    </w:p>
    <w:p w14:paraId="721A1F16">
      <w:pPr>
        <w:spacing w:line="440" w:lineRule="exact"/>
        <w:ind w:firstLine="420"/>
        <w:rPr>
          <w:rFonts w:ascii="宋体" w:hAnsi="宋体" w:cs="宋体"/>
          <w:color w:val="auto"/>
          <w:highlight w:val="none"/>
        </w:rPr>
      </w:pPr>
      <w:r>
        <w:rPr>
          <w:rFonts w:hint="eastAsia" w:ascii="宋体" w:hAnsi="宋体" w:cs="宋体"/>
          <w:color w:val="auto"/>
          <w:highlight w:val="none"/>
        </w:rPr>
        <w:t>（一）本公司员工严格遵守《中华人民共和国反不正当竞争法》等有关商业贿赂行为的禁止性规定，坚决抵制商业贿赂。</w:t>
      </w:r>
    </w:p>
    <w:p w14:paraId="6B5510CA">
      <w:pPr>
        <w:spacing w:line="440" w:lineRule="exact"/>
        <w:ind w:firstLine="420"/>
        <w:rPr>
          <w:rFonts w:ascii="宋体" w:hAnsi="宋体" w:cs="宋体"/>
          <w:color w:val="auto"/>
          <w:highlight w:val="none"/>
        </w:rPr>
      </w:pPr>
      <w:r>
        <w:rPr>
          <w:rFonts w:hint="eastAsia" w:ascii="宋体" w:hAnsi="宋体" w:cs="宋体"/>
          <w:color w:val="auto"/>
          <w:highlight w:val="none"/>
        </w:rPr>
        <w:t>（二）本公司员工不得给予</w:t>
      </w:r>
      <w:r>
        <w:rPr>
          <w:rFonts w:hint="eastAsia" w:ascii="宋体" w:hAnsi="宋体" w:cs="宋体"/>
          <w:color w:val="auto"/>
          <w:highlight w:val="none"/>
          <w:u w:val="single"/>
        </w:rPr>
        <w:t xml:space="preserve">               </w:t>
      </w:r>
      <w:r>
        <w:rPr>
          <w:rFonts w:hint="eastAsia" w:ascii="宋体" w:hAnsi="宋体" w:cs="宋体"/>
          <w:color w:val="auto"/>
          <w:highlight w:val="none"/>
        </w:rPr>
        <w:t>公司及相关单位或个人的任何不正当馈赠。</w:t>
      </w:r>
    </w:p>
    <w:p w14:paraId="5890AB5C">
      <w:pPr>
        <w:spacing w:line="440" w:lineRule="exact"/>
        <w:ind w:firstLine="420"/>
        <w:rPr>
          <w:rFonts w:ascii="宋体" w:hAnsi="宋体" w:cs="宋体"/>
          <w:color w:val="auto"/>
          <w:highlight w:val="none"/>
        </w:rPr>
      </w:pPr>
      <w:r>
        <w:rPr>
          <w:rFonts w:hint="eastAsia" w:ascii="宋体" w:hAnsi="宋体" w:cs="宋体"/>
          <w:color w:val="auto"/>
          <w:highlight w:val="none"/>
        </w:rPr>
        <w:t>（三）本公司员工不得接受</w:t>
      </w:r>
      <w:r>
        <w:rPr>
          <w:rFonts w:hint="eastAsia" w:ascii="宋体" w:hAnsi="宋体" w:cs="宋体"/>
          <w:color w:val="auto"/>
          <w:highlight w:val="none"/>
          <w:u w:val="single"/>
        </w:rPr>
        <w:t xml:space="preserve">               </w:t>
      </w:r>
      <w:r>
        <w:rPr>
          <w:rFonts w:hint="eastAsia" w:ascii="宋体" w:hAnsi="宋体" w:cs="宋体"/>
          <w:color w:val="auto"/>
          <w:highlight w:val="none"/>
        </w:rPr>
        <w:t>公司及相关单位或个人的任何不正当馈赠。</w:t>
      </w:r>
    </w:p>
    <w:p w14:paraId="1570CEDC">
      <w:pPr>
        <w:spacing w:line="440" w:lineRule="exact"/>
        <w:ind w:firstLine="420"/>
        <w:rPr>
          <w:rFonts w:ascii="宋体" w:hAnsi="宋体" w:cs="宋体"/>
          <w:color w:val="auto"/>
          <w:highlight w:val="none"/>
        </w:rPr>
      </w:pPr>
      <w:r>
        <w:rPr>
          <w:rFonts w:hint="eastAsia" w:ascii="宋体" w:hAnsi="宋体" w:cs="宋体"/>
          <w:color w:val="auto"/>
          <w:highlight w:val="none"/>
        </w:rPr>
        <w:t>（四）本公司员工不得参加</w:t>
      </w:r>
      <w:r>
        <w:rPr>
          <w:rFonts w:hint="eastAsia" w:ascii="宋体" w:hAnsi="宋体" w:cs="宋体"/>
          <w:color w:val="auto"/>
          <w:highlight w:val="none"/>
          <w:u w:val="single"/>
        </w:rPr>
        <w:t xml:space="preserve">               </w:t>
      </w:r>
      <w:r>
        <w:rPr>
          <w:rFonts w:hint="eastAsia" w:ascii="宋体" w:hAnsi="宋体" w:cs="宋体"/>
          <w:color w:val="auto"/>
          <w:highlight w:val="none"/>
        </w:rPr>
        <w:t>公司及有关单位安排的可能影响公正执行公务的宴请、旅游、考察等活动。</w:t>
      </w:r>
    </w:p>
    <w:p w14:paraId="14AFFC33">
      <w:pPr>
        <w:spacing w:line="440" w:lineRule="exact"/>
        <w:ind w:firstLine="420"/>
        <w:rPr>
          <w:rFonts w:ascii="宋体" w:hAnsi="宋体" w:cs="宋体"/>
          <w:color w:val="auto"/>
          <w:highlight w:val="none"/>
        </w:rPr>
      </w:pPr>
      <w:r>
        <w:rPr>
          <w:rFonts w:hint="eastAsia" w:ascii="宋体" w:hAnsi="宋体" w:cs="宋体"/>
          <w:color w:val="auto"/>
          <w:highlight w:val="none"/>
        </w:rPr>
        <w:t>（五）本公司员工不得从事其他可能影响廉洁商业的行为。</w:t>
      </w:r>
    </w:p>
    <w:p w14:paraId="28BD227F">
      <w:pPr>
        <w:spacing w:line="440" w:lineRule="exact"/>
        <w:ind w:firstLine="420"/>
        <w:rPr>
          <w:rFonts w:ascii="宋体" w:hAnsi="宋体" w:cs="宋体"/>
          <w:color w:val="auto"/>
          <w:highlight w:val="none"/>
        </w:rPr>
      </w:pPr>
      <w:r>
        <w:rPr>
          <w:rFonts w:hint="eastAsia" w:ascii="宋体" w:hAnsi="宋体" w:cs="宋体"/>
          <w:color w:val="auto"/>
          <w:highlight w:val="none"/>
        </w:rPr>
        <w:t>4.本公司坚持诚信商业行为，依法依约保守</w:t>
      </w:r>
      <w:r>
        <w:rPr>
          <w:rFonts w:hint="eastAsia" w:ascii="宋体" w:hAnsi="宋体" w:cs="宋体"/>
          <w:color w:val="auto"/>
          <w:highlight w:val="none"/>
          <w:u w:val="single"/>
        </w:rPr>
        <w:t xml:space="preserve">               </w:t>
      </w:r>
      <w:r>
        <w:rPr>
          <w:rFonts w:hint="eastAsia" w:ascii="宋体" w:hAnsi="宋体" w:cs="宋体"/>
          <w:color w:val="auto"/>
          <w:highlight w:val="none"/>
        </w:rPr>
        <w:t>公司的商业秘密。</w:t>
      </w:r>
    </w:p>
    <w:p w14:paraId="5B827251">
      <w:pPr>
        <w:spacing w:line="440" w:lineRule="exact"/>
        <w:ind w:firstLine="420"/>
        <w:rPr>
          <w:rFonts w:ascii="宋体" w:hAnsi="宋体" w:cs="宋体"/>
          <w:color w:val="auto"/>
          <w:highlight w:val="none"/>
        </w:rPr>
      </w:pPr>
      <w:r>
        <w:rPr>
          <w:rFonts w:hint="eastAsia" w:ascii="宋体" w:hAnsi="宋体" w:cs="宋体"/>
          <w:color w:val="auto"/>
          <w:highlight w:val="none"/>
        </w:rPr>
        <w:t>5.本公司严守缔约精神，全面履行合同义务，不擅自变更、终止以及不履行合同，发生履约突发事件时将及时通知</w:t>
      </w:r>
      <w:r>
        <w:rPr>
          <w:rFonts w:hint="eastAsia" w:ascii="宋体" w:hAnsi="宋体" w:cs="宋体"/>
          <w:color w:val="auto"/>
          <w:highlight w:val="none"/>
          <w:u w:val="single"/>
        </w:rPr>
        <w:t xml:space="preserve">               </w:t>
      </w:r>
      <w:r>
        <w:rPr>
          <w:rFonts w:hint="eastAsia" w:ascii="宋体" w:hAnsi="宋体" w:cs="宋体"/>
          <w:color w:val="auto"/>
          <w:highlight w:val="none"/>
        </w:rPr>
        <w:t>公司。</w:t>
      </w:r>
    </w:p>
    <w:p w14:paraId="10BBE40B">
      <w:pPr>
        <w:spacing w:line="440" w:lineRule="exact"/>
        <w:ind w:firstLine="420"/>
        <w:rPr>
          <w:rFonts w:ascii="宋体" w:hAnsi="宋体" w:cs="宋体"/>
          <w:color w:val="auto"/>
          <w:highlight w:val="none"/>
        </w:rPr>
      </w:pPr>
      <w:r>
        <w:rPr>
          <w:rFonts w:hint="eastAsia" w:ascii="宋体" w:hAnsi="宋体" w:cs="宋体"/>
          <w:color w:val="auto"/>
          <w:highlight w:val="none"/>
        </w:rPr>
        <w:t>6.本公司同意在合同范围内配合</w:t>
      </w:r>
      <w:r>
        <w:rPr>
          <w:rFonts w:hint="eastAsia" w:ascii="宋体" w:hAnsi="宋体" w:cs="宋体"/>
          <w:color w:val="auto"/>
          <w:highlight w:val="none"/>
          <w:u w:val="single"/>
        </w:rPr>
        <w:t xml:space="preserve">               </w:t>
      </w:r>
      <w:r>
        <w:rPr>
          <w:rFonts w:hint="eastAsia" w:ascii="宋体" w:hAnsi="宋体" w:cs="宋体"/>
          <w:color w:val="auto"/>
          <w:highlight w:val="none"/>
        </w:rPr>
        <w:t>公司的合规检查，不得隐瞒可能造    成</w:t>
      </w:r>
      <w:r>
        <w:rPr>
          <w:rFonts w:hint="eastAsia" w:ascii="宋体" w:hAnsi="宋体" w:cs="宋体"/>
          <w:color w:val="auto"/>
          <w:highlight w:val="none"/>
          <w:u w:val="single"/>
        </w:rPr>
        <w:t xml:space="preserve">               </w:t>
      </w:r>
      <w:r>
        <w:rPr>
          <w:rFonts w:hint="eastAsia" w:ascii="宋体" w:hAnsi="宋体" w:cs="宋体"/>
          <w:color w:val="auto"/>
          <w:highlight w:val="none"/>
        </w:rPr>
        <w:t>公司利益受损的信息。</w:t>
      </w:r>
    </w:p>
    <w:p w14:paraId="228E5398">
      <w:pPr>
        <w:spacing w:line="440" w:lineRule="exact"/>
        <w:ind w:firstLine="420"/>
        <w:rPr>
          <w:rFonts w:ascii="宋体" w:hAnsi="宋体" w:cs="宋体"/>
          <w:color w:val="auto"/>
          <w:highlight w:val="none"/>
        </w:rPr>
      </w:pPr>
      <w:r>
        <w:rPr>
          <w:rFonts w:hint="eastAsia" w:ascii="宋体" w:hAnsi="宋体" w:cs="宋体"/>
          <w:color w:val="auto"/>
          <w:highlight w:val="none"/>
        </w:rPr>
        <w:t>7.本公司承诺对本承诺书执行情况进行监督检查，本公司及员工未遵守承诺事项，本公司承诺自愿赔偿由此给</w:t>
      </w:r>
      <w:r>
        <w:rPr>
          <w:rFonts w:hint="eastAsia" w:ascii="宋体" w:hAnsi="宋体" w:cs="宋体"/>
          <w:color w:val="auto"/>
          <w:highlight w:val="none"/>
          <w:u w:val="single"/>
        </w:rPr>
        <w:t xml:space="preserve">               </w:t>
      </w:r>
      <w:r>
        <w:rPr>
          <w:rFonts w:hint="eastAsia" w:ascii="宋体" w:hAnsi="宋体" w:cs="宋体"/>
          <w:color w:val="auto"/>
          <w:highlight w:val="none"/>
        </w:rPr>
        <w:t>公司造成的损失，或按相关合同约定承担违约责任，   且</w:t>
      </w:r>
      <w:r>
        <w:rPr>
          <w:rFonts w:hint="eastAsia" w:ascii="宋体" w:hAnsi="宋体" w:cs="宋体"/>
          <w:color w:val="auto"/>
          <w:highlight w:val="none"/>
          <w:u w:val="single"/>
        </w:rPr>
        <w:t xml:space="preserve">               </w:t>
      </w:r>
      <w:r>
        <w:rPr>
          <w:rFonts w:hint="eastAsia" w:ascii="宋体" w:hAnsi="宋体" w:cs="宋体"/>
          <w:color w:val="auto"/>
          <w:highlight w:val="none"/>
        </w:rPr>
        <w:t>公司有权终止相关合同。</w:t>
      </w:r>
    </w:p>
    <w:p w14:paraId="63D12DC1">
      <w:pPr>
        <w:spacing w:line="440" w:lineRule="exact"/>
        <w:ind w:firstLine="420"/>
        <w:rPr>
          <w:rFonts w:ascii="宋体" w:hAnsi="宋体" w:cs="宋体"/>
          <w:color w:val="auto"/>
          <w:highlight w:val="none"/>
        </w:rPr>
      </w:pPr>
      <w:r>
        <w:rPr>
          <w:rFonts w:hint="eastAsia" w:ascii="宋体" w:hAnsi="宋体" w:cs="宋体"/>
          <w:color w:val="auto"/>
          <w:highlight w:val="none"/>
        </w:rPr>
        <w:t>本承诺函一式两份，经承诺人签字后生效，由承诺人和</w:t>
      </w:r>
      <w:r>
        <w:rPr>
          <w:rFonts w:hint="eastAsia" w:ascii="宋体" w:hAnsi="宋体" w:cs="宋体"/>
          <w:color w:val="auto"/>
          <w:highlight w:val="none"/>
          <w:u w:val="single"/>
        </w:rPr>
        <w:t xml:space="preserve">               </w:t>
      </w:r>
      <w:r>
        <w:rPr>
          <w:rFonts w:hint="eastAsia" w:ascii="宋体" w:hAnsi="宋体" w:cs="宋体"/>
          <w:color w:val="auto"/>
          <w:highlight w:val="none"/>
        </w:rPr>
        <w:t>公司各保留一份。</w:t>
      </w:r>
    </w:p>
    <w:p w14:paraId="048C6E98">
      <w:pPr>
        <w:spacing w:line="440" w:lineRule="exact"/>
        <w:ind w:firstLine="420"/>
        <w:rPr>
          <w:rFonts w:ascii="宋体" w:hAnsi="宋体" w:cs="宋体"/>
          <w:color w:val="auto"/>
          <w:highlight w:val="none"/>
        </w:rPr>
      </w:pPr>
      <w:r>
        <w:rPr>
          <w:rFonts w:hint="eastAsia" w:ascii="宋体" w:hAnsi="宋体" w:cs="宋体"/>
          <w:color w:val="auto"/>
          <w:highlight w:val="none"/>
        </w:rPr>
        <w:t>承诺人（盖章）：</w:t>
      </w:r>
    </w:p>
    <w:p w14:paraId="4B6866FE">
      <w:pPr>
        <w:spacing w:line="440" w:lineRule="exact"/>
        <w:ind w:firstLine="420"/>
        <w:jc w:val="right"/>
        <w:rPr>
          <w:rFonts w:ascii="宋体" w:hAnsi="宋体" w:cs="宋体"/>
          <w:color w:val="auto"/>
          <w:highlight w:val="none"/>
        </w:rPr>
      </w:pPr>
      <w:r>
        <w:rPr>
          <w:rFonts w:hint="eastAsia" w:ascii="宋体" w:hAnsi="宋体" w:cs="宋体"/>
          <w:color w:val="auto"/>
          <w:highlight w:val="none"/>
        </w:rPr>
        <w:t xml:space="preserve">                                年   月   日</w:t>
      </w:r>
    </w:p>
    <w:p w14:paraId="67878B29">
      <w:pPr>
        <w:ind w:firstLine="0" w:firstLineChars="0"/>
        <w:jc w:val="left"/>
        <w:rPr>
          <w:rFonts w:ascii="宋体" w:hAnsi="宋体" w:cs="宋体"/>
          <w:bCs/>
          <w:color w:val="auto"/>
          <w:szCs w:val="21"/>
          <w:highlight w:val="none"/>
          <w:u w:val="single"/>
        </w:rPr>
      </w:pPr>
      <w:r>
        <w:rPr>
          <w:rFonts w:hint="eastAsia" w:ascii="宋体" w:hAnsi="宋体" w:cs="宋体"/>
          <w:color w:val="auto"/>
          <w:highlight w:val="none"/>
        </w:rPr>
        <w:br w:type="page"/>
      </w:r>
      <w:r>
        <w:rPr>
          <w:rFonts w:hint="eastAsia" w:ascii="宋体" w:hAnsi="宋体" w:cs="宋体"/>
          <w:b/>
          <w:color w:val="auto"/>
          <w:szCs w:val="21"/>
          <w:highlight w:val="none"/>
          <w:u w:val="single"/>
        </w:rPr>
        <w:t>附件3：</w:t>
      </w:r>
    </w:p>
    <w:p w14:paraId="4256A5C7">
      <w:pPr>
        <w:spacing w:line="440" w:lineRule="exact"/>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温州港南岳港务有限公司</w:t>
      </w:r>
    </w:p>
    <w:p w14:paraId="2F2E7EBF">
      <w:pPr>
        <w:spacing w:line="440" w:lineRule="exact"/>
        <w:ind w:firstLine="0" w:firstLineChars="0"/>
        <w:jc w:val="center"/>
        <w:outlineLvl w:val="2"/>
        <w:rPr>
          <w:rFonts w:ascii="宋体" w:hAnsi="宋体" w:cs="宋体"/>
          <w:b/>
          <w:bCs/>
          <w:color w:val="auto"/>
          <w:sz w:val="28"/>
          <w:szCs w:val="28"/>
          <w:highlight w:val="none"/>
        </w:rPr>
      </w:pPr>
      <w:r>
        <w:rPr>
          <w:rFonts w:hint="eastAsia" w:ascii="宋体" w:hAnsi="宋体" w:cs="宋体"/>
          <w:b/>
          <w:bCs/>
          <w:color w:val="auto"/>
          <w:sz w:val="28"/>
          <w:szCs w:val="28"/>
          <w:highlight w:val="none"/>
        </w:rPr>
        <w:t>安全生产管理协议</w:t>
      </w:r>
    </w:p>
    <w:p w14:paraId="0948142B">
      <w:pPr>
        <w:spacing w:line="440" w:lineRule="exact"/>
        <w:ind w:firstLine="420"/>
        <w:rPr>
          <w:rFonts w:ascii="宋体" w:hAnsi="宋体"/>
          <w:color w:val="auto"/>
          <w:szCs w:val="21"/>
          <w:highlight w:val="none"/>
        </w:rPr>
      </w:pPr>
      <w:r>
        <w:rPr>
          <w:rFonts w:hint="eastAsia" w:ascii="宋体" w:hAnsi="宋体"/>
          <w:color w:val="auto"/>
          <w:szCs w:val="21"/>
          <w:highlight w:val="none"/>
        </w:rPr>
        <w:t>甲方：温州港南岳港务有限公司（以下简称甲方）</w:t>
      </w:r>
    </w:p>
    <w:p w14:paraId="25772382">
      <w:pPr>
        <w:spacing w:line="440" w:lineRule="exact"/>
        <w:ind w:firstLine="420"/>
        <w:rPr>
          <w:rFonts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（以下简称乙方）</w:t>
      </w:r>
    </w:p>
    <w:p w14:paraId="580092BC">
      <w:pPr>
        <w:spacing w:line="440" w:lineRule="exact"/>
        <w:ind w:firstLine="420"/>
        <w:rPr>
          <w:rFonts w:ascii="宋体" w:hAnsi="宋体"/>
          <w:color w:val="auto"/>
          <w:szCs w:val="21"/>
          <w:highlight w:val="none"/>
        </w:rPr>
      </w:pPr>
      <w:r>
        <w:rPr>
          <w:rFonts w:hint="eastAsia" w:ascii="宋体" w:hAnsi="宋体"/>
          <w:color w:val="auto"/>
          <w:szCs w:val="21"/>
          <w:highlight w:val="none"/>
        </w:rPr>
        <w:t>为贯彻“安全第一，预防为主，综合治理”方针，加强港区的安全管理，按照《中华人民共和国安全生产法》、《浙江省安全生产条例》等国家有关法律法规，乙方在进入甲方辖区内负有安全作业、安全施工等职责。经双方友好协商一致签订本协议书，具体条款如下：</w:t>
      </w:r>
    </w:p>
    <w:p w14:paraId="535AEA7A">
      <w:pPr>
        <w:spacing w:line="440" w:lineRule="exact"/>
        <w:ind w:firstLine="422"/>
        <w:rPr>
          <w:rFonts w:ascii="宋体" w:hAnsi="宋体"/>
          <w:b/>
          <w:color w:val="auto"/>
          <w:szCs w:val="21"/>
          <w:highlight w:val="none"/>
        </w:rPr>
      </w:pPr>
      <w:r>
        <w:rPr>
          <w:rFonts w:hint="eastAsia" w:ascii="宋体" w:hAnsi="宋体"/>
          <w:b/>
          <w:color w:val="auto"/>
          <w:szCs w:val="21"/>
          <w:highlight w:val="none"/>
        </w:rPr>
        <w:t>一、甲方的权利和责任</w:t>
      </w:r>
    </w:p>
    <w:p w14:paraId="2BB5EE48">
      <w:pPr>
        <w:spacing w:line="440" w:lineRule="exact"/>
        <w:ind w:firstLine="420"/>
        <w:rPr>
          <w:rFonts w:ascii="宋体" w:hAnsi="宋体"/>
          <w:color w:val="auto"/>
          <w:szCs w:val="21"/>
          <w:highlight w:val="none"/>
        </w:rPr>
      </w:pPr>
      <w:r>
        <w:rPr>
          <w:rFonts w:hint="eastAsia" w:ascii="宋体" w:hAnsi="宋体"/>
          <w:color w:val="auto"/>
          <w:szCs w:val="21"/>
          <w:highlight w:val="none"/>
        </w:rPr>
        <w:t>（一）甲方依据《中华人民共和国安全生产法》等相关法律规定，可定期、不定期对所辖区域进行安全检查。</w:t>
      </w:r>
    </w:p>
    <w:p w14:paraId="0357758E">
      <w:pPr>
        <w:spacing w:line="440" w:lineRule="exact"/>
        <w:ind w:firstLine="420"/>
        <w:rPr>
          <w:rFonts w:ascii="宋体" w:hAnsi="宋体"/>
          <w:color w:val="auto"/>
          <w:szCs w:val="21"/>
          <w:highlight w:val="none"/>
        </w:rPr>
      </w:pPr>
      <w:r>
        <w:rPr>
          <w:rFonts w:hint="eastAsia" w:ascii="宋体" w:hAnsi="宋体"/>
          <w:color w:val="auto"/>
          <w:szCs w:val="21"/>
          <w:highlight w:val="none"/>
        </w:rPr>
        <w:t>（二）对乙方安全管理工作不到位的，甲方可要求乙方立刻或限期落实安全防范措施，部分或全部停止作业；情节严重经甲方认定的可单方解除与乙方的业务合作协议。</w:t>
      </w:r>
    </w:p>
    <w:p w14:paraId="5D99E860">
      <w:pPr>
        <w:spacing w:line="440" w:lineRule="exact"/>
        <w:ind w:firstLine="422"/>
        <w:rPr>
          <w:rFonts w:ascii="宋体" w:hAnsi="宋体"/>
          <w:b/>
          <w:color w:val="auto"/>
          <w:szCs w:val="21"/>
          <w:highlight w:val="none"/>
        </w:rPr>
      </w:pPr>
      <w:r>
        <w:rPr>
          <w:rFonts w:hint="eastAsia" w:ascii="宋体" w:hAnsi="宋体"/>
          <w:b/>
          <w:color w:val="auto"/>
          <w:szCs w:val="21"/>
          <w:highlight w:val="none"/>
        </w:rPr>
        <w:t>（三）甲方对其本协议项下的权利与义务的行使情况，不能成为甲方承担不利后果的理由，乙方不得据此要求甲方承担责任或要求据此减轻乙方责任。</w:t>
      </w:r>
    </w:p>
    <w:p w14:paraId="4C7898BC">
      <w:pPr>
        <w:spacing w:line="440" w:lineRule="exact"/>
        <w:ind w:firstLine="422"/>
        <w:rPr>
          <w:rFonts w:ascii="宋体" w:hAnsi="宋体"/>
          <w:b/>
          <w:color w:val="auto"/>
          <w:szCs w:val="21"/>
          <w:highlight w:val="none"/>
        </w:rPr>
      </w:pPr>
      <w:r>
        <w:rPr>
          <w:rFonts w:hint="eastAsia" w:ascii="宋体" w:hAnsi="宋体"/>
          <w:b/>
          <w:color w:val="auto"/>
          <w:szCs w:val="21"/>
          <w:highlight w:val="none"/>
        </w:rPr>
        <w:t>二、乙方的权利和责任</w:t>
      </w:r>
    </w:p>
    <w:p w14:paraId="67B44C6C">
      <w:pPr>
        <w:spacing w:line="440" w:lineRule="exact"/>
        <w:ind w:firstLine="420"/>
        <w:rPr>
          <w:rFonts w:ascii="宋体" w:hAnsi="宋体"/>
          <w:color w:val="auto"/>
          <w:szCs w:val="21"/>
          <w:highlight w:val="none"/>
        </w:rPr>
      </w:pPr>
      <w:r>
        <w:rPr>
          <w:rFonts w:hint="eastAsia" w:ascii="宋体" w:hAnsi="宋体"/>
          <w:color w:val="auto"/>
          <w:szCs w:val="21"/>
          <w:highlight w:val="none"/>
        </w:rPr>
        <w:t>（一）乙方法人代表是安全管理的第一责任人，对施工作业期间、作业区域内及所属人员的安全管理工作负全面责任，因乙方人员造成的安全事件或事故承担全责。乙方发生安全事件或事故，应立即向甲方和有关政府部门报告，配合相关部门调查，并负责善后处理工作。</w:t>
      </w:r>
    </w:p>
    <w:p w14:paraId="781E1727">
      <w:pPr>
        <w:spacing w:line="440" w:lineRule="exact"/>
        <w:ind w:firstLine="420"/>
        <w:rPr>
          <w:rFonts w:ascii="宋体" w:hAnsi="宋体"/>
          <w:color w:val="auto"/>
          <w:szCs w:val="21"/>
          <w:highlight w:val="none"/>
        </w:rPr>
      </w:pPr>
      <w:r>
        <w:rPr>
          <w:rFonts w:hint="eastAsia" w:ascii="宋体" w:hAnsi="宋体"/>
          <w:color w:val="auto"/>
          <w:szCs w:val="21"/>
          <w:highlight w:val="none"/>
        </w:rPr>
        <w:t>（二）乙方须具备相关行业经营、施工或服务资质，并具备法律法规和国家标准、行业标准规定的安全生产条件，应主动向甲方提供安全、经营相关资质等证明文件。</w:t>
      </w:r>
    </w:p>
    <w:p w14:paraId="05457F48">
      <w:pPr>
        <w:spacing w:line="440" w:lineRule="exact"/>
        <w:ind w:firstLine="420"/>
        <w:rPr>
          <w:rFonts w:ascii="宋体" w:hAnsi="宋体"/>
          <w:color w:val="auto"/>
          <w:szCs w:val="21"/>
          <w:highlight w:val="none"/>
        </w:rPr>
      </w:pPr>
      <w:r>
        <w:rPr>
          <w:rFonts w:hint="eastAsia" w:ascii="宋体" w:hAnsi="宋体"/>
          <w:color w:val="auto"/>
          <w:szCs w:val="21"/>
          <w:highlight w:val="none"/>
        </w:rPr>
        <w:t>（三）乙方须严格执行国家有关法律、法规，并遵守甲方相关安全管理规定。</w:t>
      </w:r>
    </w:p>
    <w:p w14:paraId="413152EB">
      <w:pPr>
        <w:spacing w:line="440" w:lineRule="exact"/>
        <w:ind w:firstLine="420"/>
        <w:rPr>
          <w:rFonts w:ascii="宋体" w:hAnsi="宋体"/>
          <w:color w:val="auto"/>
          <w:szCs w:val="21"/>
          <w:highlight w:val="none"/>
        </w:rPr>
      </w:pPr>
      <w:r>
        <w:rPr>
          <w:rFonts w:hint="eastAsia" w:ascii="宋体" w:hAnsi="宋体"/>
          <w:color w:val="auto"/>
          <w:szCs w:val="21"/>
          <w:highlight w:val="none"/>
        </w:rPr>
        <w:t>（四）乙方须全面负责在港作业区域内安全生产职责，配备相应的专(兼)职安全管理人员，对乙方作业区域的安全生产实施安全管理和督查。</w:t>
      </w:r>
    </w:p>
    <w:p w14:paraId="2D45365F">
      <w:pPr>
        <w:spacing w:line="440" w:lineRule="exact"/>
        <w:ind w:firstLine="420"/>
        <w:rPr>
          <w:rFonts w:ascii="宋体" w:hAnsi="宋体"/>
          <w:color w:val="auto"/>
          <w:szCs w:val="21"/>
          <w:highlight w:val="none"/>
        </w:rPr>
      </w:pPr>
      <w:r>
        <w:rPr>
          <w:rFonts w:hint="eastAsia" w:ascii="宋体" w:hAnsi="宋体"/>
          <w:color w:val="auto"/>
          <w:szCs w:val="21"/>
          <w:highlight w:val="none"/>
        </w:rPr>
        <w:t>（五）乙方须依法组织人员参加安全生产教育培训，涉及特种作业的，应报甲方安全管理部门登记，人员必须持有效特种作业操作资格证并持证上岗。</w:t>
      </w:r>
    </w:p>
    <w:p w14:paraId="22BB169C">
      <w:pPr>
        <w:spacing w:line="440" w:lineRule="exact"/>
        <w:ind w:firstLine="420"/>
        <w:rPr>
          <w:rFonts w:ascii="宋体" w:hAnsi="宋体"/>
          <w:color w:val="auto"/>
          <w:szCs w:val="21"/>
          <w:highlight w:val="none"/>
        </w:rPr>
      </w:pPr>
      <w:r>
        <w:rPr>
          <w:rFonts w:hint="eastAsia" w:ascii="宋体" w:hAnsi="宋体"/>
          <w:color w:val="auto"/>
          <w:szCs w:val="21"/>
          <w:highlight w:val="none"/>
        </w:rPr>
        <w:t>（六）乙方在业务过程中所使用的机械、车辆等设备必须符合国家、行业相关要求。入港设备须确保年检有效。所使用的特种设备必须经检测、验收合格，并报甲方登记备案。</w:t>
      </w:r>
    </w:p>
    <w:p w14:paraId="422F771A">
      <w:pPr>
        <w:spacing w:line="440" w:lineRule="exact"/>
        <w:ind w:firstLine="420"/>
        <w:rPr>
          <w:rFonts w:ascii="宋体" w:hAnsi="宋体"/>
          <w:color w:val="auto"/>
          <w:szCs w:val="21"/>
          <w:highlight w:val="none"/>
        </w:rPr>
      </w:pPr>
      <w:r>
        <w:rPr>
          <w:rFonts w:hint="eastAsia" w:ascii="宋体" w:hAnsi="宋体"/>
          <w:color w:val="auto"/>
          <w:szCs w:val="21"/>
          <w:highlight w:val="none"/>
        </w:rPr>
        <w:t>（七）乙方应对发现的安全问题在限期内落实整改，并书面反馈告知甲方。对整改未反馈、未落实的，须根据甲方相关安全管理规定接受考核。</w:t>
      </w:r>
    </w:p>
    <w:p w14:paraId="1CEEE38A">
      <w:pPr>
        <w:spacing w:line="440" w:lineRule="exact"/>
        <w:ind w:firstLine="420"/>
        <w:rPr>
          <w:rFonts w:ascii="宋体" w:hAnsi="宋体"/>
          <w:color w:val="auto"/>
          <w:szCs w:val="21"/>
          <w:highlight w:val="none"/>
        </w:rPr>
      </w:pPr>
      <w:r>
        <w:rPr>
          <w:rFonts w:hint="eastAsia" w:ascii="宋体" w:hAnsi="宋体"/>
          <w:color w:val="auto"/>
          <w:szCs w:val="21"/>
          <w:highlight w:val="none"/>
        </w:rPr>
        <w:t>（八）乙方进行高处作业、有限空间作业、临时用电、临时动火、临水作业等危险作业须经甲方批准，并落实必要的安全防护措施。</w:t>
      </w:r>
    </w:p>
    <w:p w14:paraId="0C07E6BB">
      <w:pPr>
        <w:spacing w:line="440" w:lineRule="exact"/>
        <w:ind w:firstLine="420"/>
        <w:rPr>
          <w:rFonts w:ascii="宋体" w:hAnsi="宋体"/>
          <w:color w:val="auto"/>
          <w:szCs w:val="21"/>
          <w:highlight w:val="none"/>
        </w:rPr>
      </w:pPr>
      <w:r>
        <w:rPr>
          <w:rFonts w:hint="eastAsia" w:ascii="宋体" w:hAnsi="宋体"/>
          <w:color w:val="auto"/>
          <w:szCs w:val="21"/>
          <w:highlight w:val="none"/>
        </w:rPr>
        <w:t>（九）乙方应遵守道路交通管理有关规定，确保入港人员服从甲方管理。严禁无关、酒后人员进入港区。</w:t>
      </w:r>
    </w:p>
    <w:p w14:paraId="725937F9">
      <w:pPr>
        <w:spacing w:line="440" w:lineRule="exact"/>
        <w:ind w:firstLine="420"/>
        <w:rPr>
          <w:rFonts w:ascii="宋体" w:hAnsi="宋体"/>
          <w:color w:val="auto"/>
          <w:szCs w:val="21"/>
          <w:highlight w:val="none"/>
        </w:rPr>
      </w:pPr>
      <w:r>
        <w:rPr>
          <w:rFonts w:hint="eastAsia" w:ascii="宋体" w:hAnsi="宋体"/>
          <w:color w:val="auto"/>
          <w:szCs w:val="21"/>
          <w:highlight w:val="none"/>
        </w:rPr>
        <w:t>（十）在港区内人员严禁吸烟，易燃易爆物品须严格按照国家相关规定进行储存和使用，注意用电安全和落实防火措施。</w:t>
      </w:r>
    </w:p>
    <w:p w14:paraId="4D015400">
      <w:pPr>
        <w:spacing w:line="440" w:lineRule="exact"/>
        <w:ind w:firstLine="420"/>
        <w:rPr>
          <w:rFonts w:ascii="宋体" w:hAnsi="宋体"/>
          <w:color w:val="auto"/>
          <w:szCs w:val="21"/>
          <w:highlight w:val="none"/>
        </w:rPr>
      </w:pPr>
      <w:r>
        <w:rPr>
          <w:rFonts w:hint="eastAsia" w:ascii="宋体" w:hAnsi="宋体"/>
          <w:color w:val="auto"/>
          <w:szCs w:val="21"/>
          <w:highlight w:val="none"/>
        </w:rPr>
        <w:t>（十一）因乙方违章或违反甲方相关安全管理规定及其他法律法规发生人身伤亡、财产损失等事故，乙方须对事故的直接或间接经济损失予以赔偿。</w:t>
      </w:r>
    </w:p>
    <w:p w14:paraId="7C50BF72">
      <w:pPr>
        <w:spacing w:line="440" w:lineRule="exact"/>
        <w:ind w:firstLine="422"/>
        <w:rPr>
          <w:rFonts w:ascii="宋体" w:hAnsi="宋体"/>
          <w:b/>
          <w:color w:val="auto"/>
          <w:szCs w:val="21"/>
          <w:highlight w:val="none"/>
        </w:rPr>
      </w:pPr>
      <w:r>
        <w:rPr>
          <w:rFonts w:ascii="宋体" w:hAnsi="宋体"/>
          <w:b/>
          <w:color w:val="auto"/>
          <w:szCs w:val="21"/>
          <w:highlight w:val="none"/>
        </w:rPr>
        <w:t>（十</w:t>
      </w:r>
      <w:r>
        <w:rPr>
          <w:rFonts w:hint="eastAsia" w:ascii="宋体" w:hAnsi="宋体"/>
          <w:b/>
          <w:color w:val="auto"/>
          <w:szCs w:val="21"/>
          <w:highlight w:val="none"/>
        </w:rPr>
        <w:t>二</w:t>
      </w:r>
      <w:r>
        <w:rPr>
          <w:rFonts w:ascii="宋体" w:hAnsi="宋体"/>
          <w:b/>
          <w:color w:val="auto"/>
          <w:szCs w:val="21"/>
          <w:highlight w:val="none"/>
        </w:rPr>
        <w:t>）</w:t>
      </w:r>
      <w:r>
        <w:rPr>
          <w:rFonts w:hint="eastAsia" w:ascii="宋体" w:hAnsi="宋体"/>
          <w:b/>
          <w:color w:val="auto"/>
          <w:szCs w:val="21"/>
          <w:highlight w:val="none"/>
        </w:rPr>
        <w:t>乙方确认乙方人员所涉本协议项下的行为，视为乙方行为，其法律效果由乙方承担，与甲方无涉。</w:t>
      </w:r>
    </w:p>
    <w:p w14:paraId="4EEF0A5B">
      <w:pPr>
        <w:spacing w:line="440" w:lineRule="exact"/>
        <w:ind w:firstLine="422"/>
        <w:rPr>
          <w:rFonts w:ascii="宋体" w:hAnsi="宋体"/>
          <w:b/>
          <w:color w:val="auto"/>
          <w:szCs w:val="21"/>
          <w:highlight w:val="none"/>
        </w:rPr>
      </w:pPr>
      <w:r>
        <w:rPr>
          <w:rFonts w:hint="eastAsia" w:ascii="宋体" w:hAnsi="宋体"/>
          <w:b/>
          <w:color w:val="auto"/>
          <w:szCs w:val="21"/>
          <w:highlight w:val="none"/>
        </w:rPr>
        <w:t>三、事故处理</w:t>
      </w:r>
    </w:p>
    <w:p w14:paraId="6B8F3682">
      <w:pPr>
        <w:spacing w:line="440" w:lineRule="exact"/>
        <w:ind w:firstLine="420"/>
        <w:rPr>
          <w:rFonts w:ascii="宋体" w:hAnsi="宋体"/>
          <w:color w:val="auto"/>
          <w:szCs w:val="21"/>
          <w:highlight w:val="none"/>
        </w:rPr>
      </w:pPr>
      <w:r>
        <w:rPr>
          <w:rFonts w:hint="eastAsia" w:ascii="宋体" w:hAnsi="宋体"/>
          <w:color w:val="auto"/>
          <w:szCs w:val="21"/>
          <w:highlight w:val="none"/>
        </w:rPr>
        <w:t>（一）因乙方未按甲方要求，或未尽乙方自身职责疏于管理，发生安全事故的，乙方须承担事故全部责任，并负责赔偿和善后处置工作。</w:t>
      </w:r>
    </w:p>
    <w:p w14:paraId="5D3C0E05">
      <w:pPr>
        <w:spacing w:line="440" w:lineRule="exact"/>
        <w:ind w:firstLine="420"/>
        <w:rPr>
          <w:rFonts w:ascii="宋体" w:hAnsi="宋体"/>
          <w:color w:val="auto"/>
          <w:szCs w:val="21"/>
          <w:highlight w:val="none"/>
        </w:rPr>
      </w:pPr>
      <w:r>
        <w:rPr>
          <w:rFonts w:hint="eastAsia" w:ascii="宋体" w:hAnsi="宋体"/>
          <w:color w:val="auto"/>
          <w:szCs w:val="21"/>
          <w:highlight w:val="none"/>
        </w:rPr>
        <w:t>（二）如乙方安全管理不善，事故防范措施落实不力，事故、违章行为频发，甲方有权提前解除服务合同或要求乙方限期更换相关人员，由此产生的后果与责任均由乙方自行处理并负责。</w:t>
      </w:r>
    </w:p>
    <w:p w14:paraId="1D3CCD09">
      <w:pPr>
        <w:spacing w:line="440" w:lineRule="exact"/>
        <w:ind w:firstLine="422"/>
        <w:rPr>
          <w:rFonts w:ascii="宋体" w:hAnsi="宋体"/>
          <w:b/>
          <w:color w:val="auto"/>
          <w:szCs w:val="21"/>
          <w:highlight w:val="none"/>
        </w:rPr>
      </w:pPr>
      <w:r>
        <w:rPr>
          <w:rFonts w:hint="eastAsia" w:ascii="宋体" w:hAnsi="宋体"/>
          <w:b/>
          <w:color w:val="auto"/>
          <w:szCs w:val="21"/>
          <w:highlight w:val="none"/>
        </w:rPr>
        <w:t>四、考核及清退要求</w:t>
      </w:r>
    </w:p>
    <w:p w14:paraId="6156D3EB">
      <w:pPr>
        <w:spacing w:line="440" w:lineRule="exact"/>
        <w:ind w:firstLine="422"/>
        <w:rPr>
          <w:rFonts w:ascii="宋体" w:hAnsi="宋体"/>
          <w:b/>
          <w:color w:val="auto"/>
          <w:szCs w:val="21"/>
          <w:highlight w:val="none"/>
        </w:rPr>
      </w:pPr>
      <w:r>
        <w:rPr>
          <w:rFonts w:hint="eastAsia" w:ascii="宋体" w:hAnsi="宋体"/>
          <w:b/>
          <w:color w:val="auto"/>
          <w:szCs w:val="21"/>
          <w:highlight w:val="none"/>
        </w:rPr>
        <w:t>1.乙方作业人员及管理人员出现以下情形之一的，应启动清退程序：</w:t>
      </w:r>
    </w:p>
    <w:p w14:paraId="1A857E0E">
      <w:pPr>
        <w:spacing w:line="440" w:lineRule="exact"/>
        <w:ind w:firstLine="420"/>
        <w:rPr>
          <w:rFonts w:ascii="宋体" w:hAnsi="宋体"/>
          <w:color w:val="auto"/>
          <w:szCs w:val="21"/>
          <w:highlight w:val="none"/>
        </w:rPr>
      </w:pPr>
      <w:r>
        <w:rPr>
          <w:rFonts w:hint="eastAsia" w:ascii="宋体" w:hAnsi="宋体"/>
          <w:color w:val="auto"/>
          <w:szCs w:val="21"/>
          <w:highlight w:val="none"/>
        </w:rPr>
        <w:t>（一）作业人员因违章指挥、违规作业或违反劳动纪律等行为，导致发生重伤及以上责任事故的。</w:t>
      </w:r>
    </w:p>
    <w:p w14:paraId="4151FCEB">
      <w:pPr>
        <w:spacing w:line="440" w:lineRule="exact"/>
        <w:ind w:firstLine="420"/>
        <w:rPr>
          <w:rFonts w:ascii="宋体" w:hAnsi="宋体"/>
          <w:color w:val="auto"/>
          <w:szCs w:val="21"/>
          <w:highlight w:val="none"/>
        </w:rPr>
      </w:pPr>
      <w:r>
        <w:rPr>
          <w:rFonts w:hint="eastAsia" w:ascii="宋体" w:hAnsi="宋体"/>
          <w:color w:val="auto"/>
          <w:szCs w:val="21"/>
          <w:highlight w:val="none"/>
        </w:rPr>
        <w:t>（二）违章冒险作业情节严重，存在较大亡人风险，且现场拒不停止作业的。</w:t>
      </w:r>
    </w:p>
    <w:p w14:paraId="715A5C11">
      <w:pPr>
        <w:spacing w:line="440" w:lineRule="exact"/>
        <w:ind w:firstLine="420"/>
        <w:rPr>
          <w:rFonts w:ascii="宋体" w:hAnsi="宋体"/>
          <w:color w:val="auto"/>
          <w:szCs w:val="21"/>
          <w:highlight w:val="none"/>
        </w:rPr>
      </w:pPr>
      <w:r>
        <w:rPr>
          <w:rFonts w:hint="eastAsia" w:ascii="宋体" w:hAnsi="宋体"/>
          <w:color w:val="auto"/>
          <w:szCs w:val="21"/>
          <w:highlight w:val="none"/>
        </w:rPr>
        <w:t>（三）作业人员吸毒或携带违禁物品进入作业现场，经现场抽查或举报查实的。</w:t>
      </w:r>
    </w:p>
    <w:p w14:paraId="48D7032D">
      <w:pPr>
        <w:spacing w:line="440" w:lineRule="exact"/>
        <w:ind w:firstLine="420"/>
        <w:rPr>
          <w:rFonts w:ascii="宋体" w:hAnsi="宋体"/>
          <w:color w:val="auto"/>
          <w:szCs w:val="21"/>
          <w:highlight w:val="none"/>
        </w:rPr>
      </w:pPr>
      <w:r>
        <w:rPr>
          <w:rFonts w:hint="eastAsia" w:ascii="宋体" w:hAnsi="宋体"/>
          <w:color w:val="auto"/>
          <w:szCs w:val="21"/>
          <w:highlight w:val="none"/>
        </w:rPr>
        <w:t>（四）作业人员持用虚假证件、冒名顶替、伪造履历入职，或隐瞒重大职业健康禁忌，经查实的。</w:t>
      </w:r>
    </w:p>
    <w:p w14:paraId="59E936DF">
      <w:pPr>
        <w:spacing w:line="440" w:lineRule="exact"/>
        <w:ind w:firstLine="420"/>
        <w:rPr>
          <w:rFonts w:ascii="宋体" w:hAnsi="宋体"/>
          <w:color w:val="auto"/>
          <w:szCs w:val="21"/>
          <w:highlight w:val="none"/>
        </w:rPr>
      </w:pPr>
      <w:r>
        <w:rPr>
          <w:rFonts w:hint="eastAsia" w:ascii="宋体" w:hAnsi="宋体"/>
          <w:color w:val="auto"/>
          <w:szCs w:val="21"/>
          <w:highlight w:val="none"/>
        </w:rPr>
        <w:t>（五）作业人员接连发生习惯性违章行为，屡教不改的。</w:t>
      </w:r>
    </w:p>
    <w:p w14:paraId="4203E03C">
      <w:pPr>
        <w:spacing w:line="440" w:lineRule="exact"/>
        <w:ind w:firstLine="420"/>
        <w:rPr>
          <w:rFonts w:ascii="宋体" w:hAnsi="宋体"/>
          <w:color w:val="auto"/>
          <w:szCs w:val="21"/>
          <w:highlight w:val="none"/>
        </w:rPr>
      </w:pPr>
      <w:r>
        <w:rPr>
          <w:rFonts w:hint="eastAsia" w:ascii="宋体" w:hAnsi="宋体"/>
          <w:color w:val="auto"/>
          <w:szCs w:val="21"/>
          <w:highlight w:val="none"/>
        </w:rPr>
        <w:t>（六）作业人员因故意或过失，导致甲方遭受50万元及以上直接经济损失或造成负面舆情影响的。</w:t>
      </w:r>
    </w:p>
    <w:p w14:paraId="26DA8789">
      <w:pPr>
        <w:spacing w:line="440" w:lineRule="exact"/>
        <w:ind w:firstLine="420"/>
        <w:rPr>
          <w:rFonts w:ascii="宋体" w:hAnsi="宋体"/>
          <w:color w:val="auto"/>
          <w:szCs w:val="21"/>
          <w:highlight w:val="none"/>
        </w:rPr>
      </w:pPr>
      <w:r>
        <w:rPr>
          <w:rFonts w:hint="eastAsia" w:ascii="宋体" w:hAnsi="宋体"/>
          <w:color w:val="auto"/>
          <w:szCs w:val="21"/>
          <w:highlight w:val="none"/>
        </w:rPr>
        <w:t>（七）专（兼）安全生产管理人员未按规定履行安全生产管理职责，存在未开展现场检查并形成检查记录、未开展安全教育并形成教育记录等履职不到位情形且不配合整改的。</w:t>
      </w:r>
    </w:p>
    <w:p w14:paraId="4FEFEAEA">
      <w:pPr>
        <w:spacing w:line="440" w:lineRule="exact"/>
        <w:ind w:firstLine="420"/>
        <w:rPr>
          <w:rFonts w:ascii="宋体" w:hAnsi="宋体"/>
          <w:color w:val="auto"/>
          <w:szCs w:val="21"/>
          <w:highlight w:val="none"/>
        </w:rPr>
      </w:pPr>
      <w:r>
        <w:rPr>
          <w:rFonts w:hint="eastAsia" w:ascii="宋体" w:hAnsi="宋体"/>
          <w:color w:val="auto"/>
          <w:szCs w:val="21"/>
          <w:highlight w:val="none"/>
        </w:rPr>
        <w:t>（八）管理人员未按甲方合理要求落实整改或拒不整改的。</w:t>
      </w:r>
    </w:p>
    <w:p w14:paraId="51480B4F">
      <w:pPr>
        <w:spacing w:line="440" w:lineRule="exact"/>
        <w:ind w:firstLine="420"/>
        <w:rPr>
          <w:rFonts w:ascii="宋体" w:hAnsi="宋体"/>
          <w:color w:val="auto"/>
          <w:szCs w:val="21"/>
          <w:highlight w:val="none"/>
        </w:rPr>
      </w:pPr>
      <w:r>
        <w:rPr>
          <w:rFonts w:hint="eastAsia" w:ascii="宋体" w:hAnsi="宋体"/>
          <w:color w:val="auto"/>
          <w:szCs w:val="21"/>
          <w:highlight w:val="none"/>
        </w:rPr>
        <w:t>（九）发生其他法定禁止行为的。</w:t>
      </w:r>
    </w:p>
    <w:p w14:paraId="23488BD3">
      <w:pPr>
        <w:spacing w:line="440" w:lineRule="exact"/>
        <w:ind w:firstLine="422"/>
        <w:rPr>
          <w:rFonts w:ascii="宋体" w:hAnsi="宋体"/>
          <w:b/>
          <w:color w:val="auto"/>
          <w:szCs w:val="21"/>
          <w:highlight w:val="none"/>
        </w:rPr>
      </w:pPr>
      <w:r>
        <w:rPr>
          <w:rFonts w:hint="eastAsia" w:ascii="宋体" w:hAnsi="宋体"/>
          <w:b/>
          <w:color w:val="auto"/>
          <w:szCs w:val="21"/>
          <w:highlight w:val="none"/>
        </w:rPr>
        <w:t>2.乙方出现以下情形之一的，应启动清退程序：</w:t>
      </w:r>
    </w:p>
    <w:p w14:paraId="4F6420AE">
      <w:pPr>
        <w:spacing w:line="440" w:lineRule="exact"/>
        <w:ind w:firstLine="420"/>
        <w:rPr>
          <w:rFonts w:ascii="宋体" w:hAnsi="宋体"/>
          <w:color w:val="auto"/>
          <w:szCs w:val="21"/>
          <w:highlight w:val="none"/>
        </w:rPr>
      </w:pPr>
      <w:r>
        <w:rPr>
          <w:rFonts w:hint="eastAsia" w:ascii="宋体" w:hAnsi="宋体"/>
          <w:color w:val="auto"/>
          <w:szCs w:val="21"/>
          <w:highlight w:val="none"/>
        </w:rPr>
        <w:t>（一）累计造成2名及以上人员重伤责任事故的。</w:t>
      </w:r>
    </w:p>
    <w:p w14:paraId="72DFCB04">
      <w:pPr>
        <w:spacing w:line="440" w:lineRule="exact"/>
        <w:ind w:firstLine="420"/>
        <w:rPr>
          <w:rFonts w:ascii="宋体" w:hAnsi="宋体"/>
          <w:color w:val="auto"/>
          <w:szCs w:val="21"/>
          <w:highlight w:val="none"/>
        </w:rPr>
      </w:pPr>
      <w:r>
        <w:rPr>
          <w:rFonts w:hint="eastAsia" w:ascii="宋体" w:hAnsi="宋体"/>
          <w:color w:val="auto"/>
          <w:szCs w:val="21"/>
          <w:highlight w:val="none"/>
        </w:rPr>
        <w:t>（二）造成1名及以上人员死亡责任事故的。</w:t>
      </w:r>
    </w:p>
    <w:p w14:paraId="4F5404BF">
      <w:pPr>
        <w:spacing w:line="440" w:lineRule="exact"/>
        <w:ind w:firstLine="420"/>
        <w:rPr>
          <w:rFonts w:ascii="宋体" w:hAnsi="宋体"/>
          <w:color w:val="auto"/>
          <w:szCs w:val="21"/>
          <w:highlight w:val="none"/>
        </w:rPr>
      </w:pPr>
      <w:r>
        <w:rPr>
          <w:rFonts w:hint="eastAsia" w:ascii="宋体" w:hAnsi="宋体"/>
          <w:color w:val="auto"/>
          <w:szCs w:val="21"/>
          <w:highlight w:val="none"/>
        </w:rPr>
        <w:t>（三）累计被查处5名及以上人员经常性严重违章行为的。</w:t>
      </w:r>
    </w:p>
    <w:p w14:paraId="482E5B8D">
      <w:pPr>
        <w:spacing w:line="440" w:lineRule="exact"/>
        <w:ind w:firstLine="420"/>
        <w:rPr>
          <w:rFonts w:ascii="宋体" w:hAnsi="宋体"/>
          <w:color w:val="auto"/>
          <w:szCs w:val="21"/>
          <w:highlight w:val="none"/>
        </w:rPr>
      </w:pPr>
      <w:r>
        <w:rPr>
          <w:rFonts w:hint="eastAsia" w:ascii="宋体" w:hAnsi="宋体"/>
          <w:color w:val="auto"/>
          <w:szCs w:val="21"/>
          <w:highlight w:val="none"/>
        </w:rPr>
        <w:t>（四）造成事故，导致甲方遭受100万元及以上直接经济损失或造成负面舆情影响的。</w:t>
      </w:r>
    </w:p>
    <w:p w14:paraId="29353A3D">
      <w:pPr>
        <w:spacing w:line="440" w:lineRule="exact"/>
        <w:ind w:firstLine="420"/>
        <w:rPr>
          <w:rFonts w:ascii="宋体" w:hAnsi="宋体"/>
          <w:color w:val="auto"/>
          <w:szCs w:val="21"/>
          <w:highlight w:val="none"/>
        </w:rPr>
      </w:pPr>
      <w:r>
        <w:rPr>
          <w:rFonts w:hint="eastAsia" w:ascii="宋体" w:hAnsi="宋体"/>
          <w:color w:val="auto"/>
          <w:szCs w:val="21"/>
          <w:highlight w:val="none"/>
        </w:rPr>
        <w:t>（五）年度考核、连续2次季度考核或连续3次月度考核不合格经整改仍无法满足要求的。</w:t>
      </w:r>
    </w:p>
    <w:p w14:paraId="69EB07F6">
      <w:pPr>
        <w:spacing w:line="440" w:lineRule="exact"/>
        <w:ind w:firstLine="420"/>
        <w:rPr>
          <w:rFonts w:ascii="宋体" w:hAnsi="宋体"/>
          <w:color w:val="auto"/>
          <w:szCs w:val="21"/>
          <w:highlight w:val="none"/>
        </w:rPr>
      </w:pPr>
      <w:r>
        <w:rPr>
          <w:rFonts w:hint="eastAsia" w:ascii="宋体" w:hAnsi="宋体"/>
          <w:color w:val="auto"/>
          <w:szCs w:val="21"/>
          <w:highlight w:val="none"/>
        </w:rPr>
        <w:t>（六）提供虚假资质材料、业绩证明，骗取准入资格或合作机会的；</w:t>
      </w:r>
    </w:p>
    <w:p w14:paraId="1F99F840">
      <w:pPr>
        <w:spacing w:line="440" w:lineRule="exact"/>
        <w:ind w:firstLine="420"/>
        <w:rPr>
          <w:rFonts w:ascii="宋体" w:hAnsi="宋体"/>
          <w:color w:val="auto"/>
          <w:szCs w:val="21"/>
          <w:highlight w:val="none"/>
        </w:rPr>
      </w:pPr>
      <w:r>
        <w:rPr>
          <w:rFonts w:hint="eastAsia" w:ascii="宋体" w:hAnsi="宋体"/>
          <w:color w:val="auto"/>
          <w:szCs w:val="21"/>
          <w:highlight w:val="none"/>
        </w:rPr>
        <w:t>（七）未按合同要求缴纳相关履约保证金，或保证金被扣减后未在规定时限内补足的。</w:t>
      </w:r>
    </w:p>
    <w:p w14:paraId="3B6A1723">
      <w:pPr>
        <w:spacing w:line="440" w:lineRule="exact"/>
        <w:ind w:firstLine="420"/>
        <w:rPr>
          <w:rFonts w:ascii="宋体" w:hAnsi="宋体"/>
          <w:color w:val="auto"/>
          <w:szCs w:val="21"/>
          <w:highlight w:val="none"/>
        </w:rPr>
      </w:pPr>
      <w:r>
        <w:rPr>
          <w:rFonts w:hint="eastAsia" w:ascii="宋体" w:hAnsi="宋体"/>
          <w:color w:val="auto"/>
          <w:szCs w:val="21"/>
          <w:highlight w:val="none"/>
        </w:rPr>
        <w:t>（八）违反外包合同及安全协议约定，擅自转包、分包外包业务的。</w:t>
      </w:r>
    </w:p>
    <w:p w14:paraId="6D746B3F">
      <w:pPr>
        <w:spacing w:line="440" w:lineRule="exact"/>
        <w:ind w:firstLine="420"/>
        <w:rPr>
          <w:rFonts w:ascii="宋体" w:hAnsi="宋体"/>
          <w:color w:val="auto"/>
          <w:szCs w:val="21"/>
          <w:highlight w:val="none"/>
        </w:rPr>
      </w:pPr>
      <w:r>
        <w:rPr>
          <w:rFonts w:hint="eastAsia" w:ascii="宋体" w:hAnsi="宋体"/>
          <w:color w:val="auto"/>
          <w:szCs w:val="21"/>
          <w:highlight w:val="none"/>
        </w:rPr>
        <w:t>（九）存在严重违法违规行为（如伪造设备检测报告），被行业主管部门列入失信名单的。</w:t>
      </w:r>
    </w:p>
    <w:p w14:paraId="75052983">
      <w:pPr>
        <w:spacing w:line="440" w:lineRule="exact"/>
        <w:ind w:firstLine="420"/>
        <w:rPr>
          <w:rFonts w:ascii="宋体" w:hAnsi="宋体"/>
          <w:color w:val="auto"/>
          <w:szCs w:val="21"/>
          <w:highlight w:val="none"/>
        </w:rPr>
      </w:pPr>
      <w:r>
        <w:rPr>
          <w:rFonts w:hint="eastAsia" w:ascii="宋体" w:hAnsi="宋体"/>
          <w:color w:val="auto"/>
          <w:szCs w:val="21"/>
          <w:highlight w:val="none"/>
        </w:rPr>
        <w:t>（十）拒绝接受甲方安全监管的。</w:t>
      </w:r>
    </w:p>
    <w:p w14:paraId="05237A09">
      <w:pPr>
        <w:spacing w:line="440" w:lineRule="exact"/>
        <w:ind w:firstLine="420"/>
        <w:rPr>
          <w:rFonts w:ascii="宋体" w:hAnsi="宋体"/>
          <w:color w:val="auto"/>
          <w:szCs w:val="21"/>
          <w:highlight w:val="none"/>
        </w:rPr>
      </w:pPr>
      <w:r>
        <w:rPr>
          <w:rFonts w:hint="eastAsia" w:ascii="宋体" w:hAnsi="宋体"/>
          <w:color w:val="auto"/>
          <w:szCs w:val="21"/>
          <w:highlight w:val="none"/>
        </w:rPr>
        <w:t>（十一）无正当理由，隐患整改不及时或拒不整改的。</w:t>
      </w:r>
    </w:p>
    <w:p w14:paraId="36A4ED34">
      <w:pPr>
        <w:spacing w:line="440" w:lineRule="exact"/>
        <w:ind w:firstLine="420"/>
        <w:rPr>
          <w:rFonts w:ascii="宋体" w:hAnsi="宋体"/>
          <w:color w:val="auto"/>
          <w:szCs w:val="21"/>
          <w:highlight w:val="none"/>
        </w:rPr>
      </w:pPr>
      <w:r>
        <w:rPr>
          <w:rFonts w:hint="eastAsia" w:ascii="宋体" w:hAnsi="宋体"/>
          <w:color w:val="auto"/>
          <w:szCs w:val="21"/>
          <w:highlight w:val="none"/>
        </w:rPr>
        <w:t>（十二）发生其他法定禁止行为的。</w:t>
      </w:r>
    </w:p>
    <w:p w14:paraId="5776573B">
      <w:pPr>
        <w:spacing w:line="440" w:lineRule="exact"/>
        <w:ind w:firstLine="422"/>
        <w:rPr>
          <w:rFonts w:ascii="宋体" w:hAnsi="宋体"/>
          <w:b/>
          <w:color w:val="auto"/>
          <w:szCs w:val="21"/>
          <w:highlight w:val="none"/>
        </w:rPr>
      </w:pPr>
      <w:r>
        <w:rPr>
          <w:rFonts w:hint="eastAsia" w:ascii="宋体" w:hAnsi="宋体"/>
          <w:b/>
          <w:color w:val="auto"/>
          <w:szCs w:val="21"/>
          <w:highlight w:val="none"/>
        </w:rPr>
        <w:t>3.清退程序</w:t>
      </w:r>
    </w:p>
    <w:p w14:paraId="326625B7">
      <w:pPr>
        <w:spacing w:line="440" w:lineRule="exact"/>
        <w:ind w:firstLine="420"/>
        <w:rPr>
          <w:rFonts w:ascii="宋体" w:hAnsi="宋体"/>
          <w:color w:val="auto"/>
          <w:szCs w:val="21"/>
          <w:highlight w:val="none"/>
        </w:rPr>
      </w:pPr>
      <w:r>
        <w:rPr>
          <w:rFonts w:hint="eastAsia" w:ascii="宋体" w:hAnsi="宋体"/>
          <w:color w:val="auto"/>
          <w:szCs w:val="21"/>
          <w:highlight w:val="none"/>
        </w:rPr>
        <w:t>（一）调查核实：乙方（含个人，下同）存在清退情形的，甲方需在10个工作日内组织调查，收集相关证据（如事故报告、考核记录、违约赔偿等），形成清退方案。甲方对清退方案进行评估审核，分析研判对生产、维稳等因素的潜在影响，决定是否启动清退。</w:t>
      </w:r>
    </w:p>
    <w:p w14:paraId="73F33028">
      <w:pPr>
        <w:spacing w:line="440" w:lineRule="exact"/>
        <w:ind w:firstLine="420"/>
        <w:rPr>
          <w:rFonts w:ascii="宋体" w:hAnsi="宋体"/>
          <w:color w:val="auto"/>
          <w:szCs w:val="21"/>
          <w:highlight w:val="none"/>
        </w:rPr>
      </w:pPr>
      <w:r>
        <w:rPr>
          <w:rFonts w:hint="eastAsia" w:ascii="宋体" w:hAnsi="宋体"/>
          <w:color w:val="auto"/>
          <w:szCs w:val="21"/>
          <w:highlight w:val="none"/>
        </w:rPr>
        <w:t>（二）清退告知：甲方决定启动清退的，向乙方出具清退告知书，说明清退理由、依据及拟处理意见，乙方可在收到告知书后5个工作日内提出书面陈述或申辩，甲方需在10个工作日内组织回复。</w:t>
      </w:r>
    </w:p>
    <w:p w14:paraId="40C2231A">
      <w:pPr>
        <w:spacing w:line="440" w:lineRule="exact"/>
        <w:ind w:firstLine="420"/>
        <w:rPr>
          <w:rFonts w:ascii="宋体" w:hAnsi="宋体"/>
          <w:color w:val="auto"/>
          <w:szCs w:val="21"/>
          <w:highlight w:val="none"/>
        </w:rPr>
      </w:pPr>
      <w:r>
        <w:rPr>
          <w:rFonts w:hint="eastAsia" w:ascii="宋体" w:hAnsi="宋体"/>
          <w:color w:val="auto"/>
          <w:szCs w:val="21"/>
          <w:highlight w:val="none"/>
        </w:rPr>
        <w:t>（三）审核决定：甲方结合调查结果、乙方陈述申辩意见，出具清退决定书。</w:t>
      </w:r>
    </w:p>
    <w:p w14:paraId="235C39F7">
      <w:pPr>
        <w:spacing w:line="440" w:lineRule="exact"/>
        <w:ind w:firstLine="420"/>
        <w:rPr>
          <w:rFonts w:ascii="宋体" w:hAnsi="宋体"/>
          <w:color w:val="auto"/>
          <w:szCs w:val="21"/>
          <w:highlight w:val="none"/>
        </w:rPr>
      </w:pPr>
      <w:r>
        <w:rPr>
          <w:rFonts w:hint="eastAsia" w:ascii="宋体" w:hAnsi="宋体"/>
          <w:color w:val="auto"/>
          <w:szCs w:val="21"/>
          <w:highlight w:val="none"/>
        </w:rPr>
        <w:t>（四）落实执行：甲方通知乙方终止外包合同，办理业务交接手续（明确剩余作业、设备、人员的交接方案），及时完成清退工作。</w:t>
      </w:r>
    </w:p>
    <w:p w14:paraId="7A8878F5">
      <w:pPr>
        <w:spacing w:line="440" w:lineRule="exact"/>
        <w:ind w:firstLine="420"/>
        <w:rPr>
          <w:rFonts w:ascii="宋体" w:hAnsi="宋体"/>
          <w:color w:val="auto"/>
          <w:szCs w:val="21"/>
          <w:highlight w:val="none"/>
        </w:rPr>
      </w:pPr>
      <w:r>
        <w:rPr>
          <w:rFonts w:hint="eastAsia" w:ascii="宋体" w:hAnsi="宋体"/>
          <w:color w:val="auto"/>
          <w:szCs w:val="21"/>
          <w:highlight w:val="none"/>
        </w:rPr>
        <w:t>（五）档案更新：清退完成后，甲方将清退决定书报归口管理部门备案。</w:t>
      </w:r>
    </w:p>
    <w:p w14:paraId="5AC8AF49">
      <w:pPr>
        <w:spacing w:line="440" w:lineRule="exact"/>
        <w:ind w:firstLine="422"/>
        <w:rPr>
          <w:rFonts w:ascii="宋体" w:hAnsi="宋体"/>
          <w:b/>
          <w:color w:val="auto"/>
          <w:szCs w:val="21"/>
          <w:highlight w:val="none"/>
        </w:rPr>
      </w:pPr>
      <w:r>
        <w:rPr>
          <w:rFonts w:hint="eastAsia" w:ascii="宋体" w:hAnsi="宋体"/>
          <w:b/>
          <w:color w:val="auto"/>
          <w:szCs w:val="21"/>
          <w:highlight w:val="none"/>
        </w:rPr>
        <w:t>第二十四条 清退后管理</w:t>
      </w:r>
    </w:p>
    <w:p w14:paraId="257FC01D">
      <w:pPr>
        <w:spacing w:line="440" w:lineRule="exact"/>
        <w:ind w:firstLine="420"/>
        <w:rPr>
          <w:rFonts w:ascii="宋体" w:hAnsi="宋体"/>
          <w:color w:val="auto"/>
          <w:szCs w:val="21"/>
          <w:highlight w:val="none"/>
        </w:rPr>
      </w:pPr>
      <w:r>
        <w:rPr>
          <w:rFonts w:hint="eastAsia" w:ascii="宋体" w:hAnsi="宋体"/>
          <w:color w:val="auto"/>
          <w:szCs w:val="21"/>
          <w:highlight w:val="none"/>
        </w:rPr>
        <w:t>（一）清退管理要求：</w:t>
      </w:r>
    </w:p>
    <w:p w14:paraId="6AA4E902">
      <w:pPr>
        <w:spacing w:line="440" w:lineRule="exact"/>
        <w:ind w:firstLine="420"/>
        <w:rPr>
          <w:rFonts w:ascii="宋体" w:hAnsi="宋体"/>
          <w:color w:val="auto"/>
          <w:szCs w:val="21"/>
          <w:highlight w:val="none"/>
        </w:rPr>
      </w:pPr>
      <w:r>
        <w:rPr>
          <w:rFonts w:hint="eastAsia" w:ascii="宋体" w:hAnsi="宋体"/>
          <w:color w:val="auto"/>
          <w:szCs w:val="21"/>
          <w:highlight w:val="none"/>
        </w:rPr>
        <w:t>1.个人清退管理要求：被清退的个人，自清退之日起5年内不得参与甲方任何外包工作。</w:t>
      </w:r>
    </w:p>
    <w:p w14:paraId="1488CA8E">
      <w:pPr>
        <w:spacing w:line="440" w:lineRule="exact"/>
        <w:ind w:firstLine="420"/>
        <w:rPr>
          <w:rFonts w:ascii="宋体" w:hAnsi="宋体"/>
          <w:color w:val="auto"/>
          <w:szCs w:val="21"/>
          <w:highlight w:val="none"/>
        </w:rPr>
      </w:pPr>
      <w:r>
        <w:rPr>
          <w:rFonts w:hint="eastAsia" w:ascii="宋体" w:hAnsi="宋体"/>
          <w:color w:val="auto"/>
          <w:szCs w:val="21"/>
          <w:highlight w:val="none"/>
        </w:rPr>
        <w:t>2.清退管理要求：被清退的乙方及其主要负责人以及实际控制人、安全负责人、安全管理人员，以及对生产安全责任事故负有责任的人员一并纳入甲方清退管理名单，自清退之日起2年内不得参与甲方任何合作。</w:t>
      </w:r>
    </w:p>
    <w:p w14:paraId="3BAE5B51">
      <w:pPr>
        <w:spacing w:line="440" w:lineRule="exact"/>
        <w:ind w:firstLine="422"/>
        <w:rPr>
          <w:rFonts w:ascii="宋体" w:hAnsi="宋体"/>
          <w:b/>
          <w:color w:val="auto"/>
          <w:szCs w:val="21"/>
          <w:highlight w:val="none"/>
        </w:rPr>
      </w:pPr>
      <w:r>
        <w:rPr>
          <w:rFonts w:hint="eastAsia" w:ascii="宋体" w:hAnsi="宋体"/>
          <w:b/>
          <w:color w:val="auto"/>
          <w:szCs w:val="21"/>
          <w:highlight w:val="none"/>
        </w:rPr>
        <w:t>五、履约保证金的相关说明</w:t>
      </w:r>
    </w:p>
    <w:p w14:paraId="7849BA9E">
      <w:pPr>
        <w:spacing w:line="440" w:lineRule="exact"/>
        <w:ind w:firstLine="420"/>
        <w:rPr>
          <w:rFonts w:ascii="宋体" w:hAnsi="宋体"/>
          <w:color w:val="auto"/>
          <w:szCs w:val="21"/>
          <w:highlight w:val="none"/>
        </w:rPr>
      </w:pPr>
      <w:r>
        <w:rPr>
          <w:rFonts w:hint="eastAsia" w:ascii="宋体" w:hAnsi="宋体"/>
          <w:color w:val="auto"/>
          <w:szCs w:val="21"/>
          <w:highlight w:val="none"/>
        </w:rPr>
        <w:t>（一）履约保证金的缴纳</w:t>
      </w:r>
    </w:p>
    <w:p w14:paraId="3053817B">
      <w:pPr>
        <w:spacing w:line="440" w:lineRule="exact"/>
        <w:ind w:firstLine="420"/>
        <w:rPr>
          <w:rFonts w:ascii="宋体" w:hAnsi="宋体"/>
          <w:color w:val="auto"/>
          <w:szCs w:val="21"/>
          <w:highlight w:val="none"/>
        </w:rPr>
      </w:pPr>
      <w:r>
        <w:rPr>
          <w:rFonts w:hint="eastAsia" w:ascii="宋体" w:hAnsi="宋体"/>
          <w:color w:val="auto"/>
          <w:szCs w:val="21"/>
          <w:highlight w:val="none"/>
        </w:rPr>
        <w:t>甲乙双方签订的业务合同中，履约保证金使用范围将涵盖安全管理考核，若乙方在甲方港区内发生违章的，甲方可根据甲方的相关安全管理规定从该履约保证金中扣除违章考核金额。</w:t>
      </w:r>
    </w:p>
    <w:p w14:paraId="02F425A9">
      <w:pPr>
        <w:spacing w:line="440" w:lineRule="exact"/>
        <w:ind w:firstLine="420"/>
        <w:rPr>
          <w:rFonts w:ascii="宋体" w:hAnsi="宋体"/>
          <w:color w:val="auto"/>
          <w:szCs w:val="21"/>
          <w:highlight w:val="none"/>
        </w:rPr>
      </w:pPr>
      <w:r>
        <w:rPr>
          <w:rFonts w:hint="eastAsia" w:ascii="宋体" w:hAnsi="宋体"/>
          <w:color w:val="auto"/>
          <w:szCs w:val="21"/>
          <w:highlight w:val="none"/>
        </w:rPr>
        <w:t>（二）履约保证金的清算</w:t>
      </w:r>
    </w:p>
    <w:p w14:paraId="2E838B58">
      <w:pPr>
        <w:spacing w:line="440" w:lineRule="exact"/>
        <w:ind w:firstLine="420"/>
        <w:rPr>
          <w:rFonts w:ascii="宋体" w:hAnsi="宋体"/>
          <w:color w:val="auto"/>
          <w:szCs w:val="21"/>
          <w:highlight w:val="none"/>
        </w:rPr>
      </w:pPr>
      <w:r>
        <w:rPr>
          <w:rFonts w:hint="eastAsia" w:ascii="宋体" w:hAnsi="宋体"/>
          <w:color w:val="auto"/>
          <w:szCs w:val="21"/>
          <w:highlight w:val="none"/>
        </w:rPr>
        <w:t>甲方将在次年年初进行履约保证金的清算，乙方须在次年第一季度内补齐履约保证金。经乙方提出退回履约保证金申请后，该履约保证金除按相关业务合同要求进行履约考核外，还需扣减当年度违章考核金额后，剩余履约保证金予以无息退还。履约保证金已补齐的，按履约保证金原金额予以无息退还。</w:t>
      </w:r>
    </w:p>
    <w:p w14:paraId="59411FCA">
      <w:pPr>
        <w:spacing w:line="440" w:lineRule="exact"/>
        <w:ind w:firstLine="422"/>
        <w:rPr>
          <w:rFonts w:ascii="宋体" w:hAnsi="宋体"/>
          <w:b/>
          <w:bCs/>
          <w:color w:val="auto"/>
          <w:szCs w:val="21"/>
          <w:highlight w:val="none"/>
        </w:rPr>
      </w:pPr>
      <w:r>
        <w:rPr>
          <w:rFonts w:hint="eastAsia" w:ascii="宋体" w:hAnsi="宋体"/>
          <w:b/>
          <w:bCs/>
          <w:color w:val="auto"/>
          <w:szCs w:val="21"/>
          <w:highlight w:val="none"/>
        </w:rPr>
        <w:t>六、本协议履行期与甲乙双方签订的主合同一致，</w:t>
      </w:r>
      <w:r>
        <w:rPr>
          <w:rFonts w:hint="eastAsia" w:ascii="宋体" w:hAnsi="宋体" w:cs="宋体"/>
          <w:b/>
          <w:bCs/>
          <w:color w:val="auto"/>
          <w:szCs w:val="21"/>
          <w:highlight w:val="none"/>
        </w:rPr>
        <w:t>无主合同的，在签署当年有效</w:t>
      </w:r>
      <w:r>
        <w:rPr>
          <w:rFonts w:hint="eastAsia" w:ascii="宋体" w:hAnsi="宋体"/>
          <w:b/>
          <w:bCs/>
          <w:color w:val="auto"/>
          <w:szCs w:val="21"/>
          <w:highlight w:val="none"/>
        </w:rPr>
        <w:t>。</w:t>
      </w:r>
    </w:p>
    <w:p w14:paraId="3D593C70">
      <w:pPr>
        <w:spacing w:line="440" w:lineRule="exact"/>
        <w:ind w:firstLine="422"/>
        <w:rPr>
          <w:rFonts w:ascii="宋体" w:hAnsi="宋体"/>
          <w:b/>
          <w:bCs/>
          <w:color w:val="auto"/>
          <w:szCs w:val="21"/>
          <w:highlight w:val="none"/>
        </w:rPr>
      </w:pPr>
      <w:r>
        <w:rPr>
          <w:rFonts w:hint="eastAsia" w:ascii="宋体" w:hAnsi="宋体"/>
          <w:b/>
          <w:color w:val="auto"/>
          <w:szCs w:val="21"/>
          <w:highlight w:val="none"/>
        </w:rPr>
        <w:t>七、</w:t>
      </w:r>
      <w:r>
        <w:rPr>
          <w:rFonts w:hint="eastAsia" w:ascii="宋体" w:hAnsi="宋体"/>
          <w:b/>
          <w:bCs/>
          <w:color w:val="auto"/>
          <w:szCs w:val="21"/>
          <w:highlight w:val="none"/>
        </w:rPr>
        <w:t>在执行本协议过程中产生的或与本协议有关的争议及分歧，参照主合同有关争议解决的方式执行。</w:t>
      </w:r>
    </w:p>
    <w:p w14:paraId="3BBC40B1">
      <w:pPr>
        <w:spacing w:line="440" w:lineRule="exact"/>
        <w:ind w:firstLine="422"/>
        <w:rPr>
          <w:rFonts w:ascii="宋体" w:hAnsi="宋体"/>
          <w:b/>
          <w:color w:val="auto"/>
          <w:szCs w:val="21"/>
          <w:highlight w:val="none"/>
        </w:rPr>
      </w:pPr>
      <w:r>
        <w:rPr>
          <w:rFonts w:hint="eastAsia" w:ascii="宋体" w:hAnsi="宋体"/>
          <w:b/>
          <w:color w:val="auto"/>
          <w:szCs w:val="21"/>
          <w:highlight w:val="none"/>
        </w:rPr>
        <w:t>八、本协议一式二份，甲、乙双方各执一份。</w:t>
      </w:r>
    </w:p>
    <w:p w14:paraId="1D337BA4">
      <w:pPr>
        <w:spacing w:line="440" w:lineRule="exact"/>
        <w:ind w:firstLine="422"/>
        <w:rPr>
          <w:rFonts w:ascii="宋体" w:hAnsi="宋体"/>
          <w:b/>
          <w:color w:val="auto"/>
          <w:szCs w:val="21"/>
          <w:highlight w:val="none"/>
        </w:rPr>
      </w:pPr>
    </w:p>
    <w:p w14:paraId="30E119BB">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甲方：温州港南岳港务有限公司           乙方：</w:t>
      </w:r>
    </w:p>
    <w:p w14:paraId="25EEA35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甲方代表（签字）：                        乙方代表（签字）：</w:t>
      </w:r>
    </w:p>
    <w:p w14:paraId="096CA17E">
      <w:pPr>
        <w:tabs>
          <w:tab w:val="right" w:pos="7186"/>
        </w:tabs>
        <w:spacing w:line="440" w:lineRule="exact"/>
        <w:ind w:right="1120" w:firstLine="420"/>
        <w:rPr>
          <w:rFonts w:ascii="宋体" w:hAnsi="宋体" w:cs="宋体"/>
          <w:color w:val="auto"/>
          <w:szCs w:val="21"/>
          <w:highlight w:val="none"/>
        </w:rPr>
      </w:pPr>
    </w:p>
    <w:p w14:paraId="648B697A">
      <w:pPr>
        <w:tabs>
          <w:tab w:val="right" w:pos="7186"/>
        </w:tabs>
        <w:spacing w:line="440" w:lineRule="exact"/>
        <w:ind w:right="884" w:firstLine="420"/>
        <w:jc w:val="right"/>
        <w:rPr>
          <w:rFonts w:ascii="宋体" w:hAnsi="宋体" w:cs="宋体"/>
          <w:color w:val="auto"/>
          <w:szCs w:val="21"/>
          <w:highlight w:val="none"/>
        </w:rPr>
      </w:pPr>
      <w:r>
        <w:rPr>
          <w:rFonts w:hint="eastAsia" w:ascii="宋体" w:hAnsi="宋体" w:cs="宋体"/>
          <w:color w:val="auto"/>
          <w:szCs w:val="21"/>
          <w:highlight w:val="none"/>
        </w:rPr>
        <w:t>签订时间：   年   月   日</w:t>
      </w:r>
    </w:p>
    <w:p w14:paraId="15BF93BA">
      <w:pPr>
        <w:spacing w:line="460" w:lineRule="exact"/>
        <w:ind w:firstLine="440"/>
        <w:jc w:val="center"/>
        <w:rPr>
          <w:rFonts w:ascii="宋体" w:hAnsi="宋体" w:cs="宋体"/>
          <w:color w:val="auto"/>
          <w:sz w:val="22"/>
          <w:szCs w:val="22"/>
          <w:highlight w:val="none"/>
        </w:rPr>
      </w:pPr>
    </w:p>
    <w:p w14:paraId="5E3F526F">
      <w:pPr>
        <w:spacing w:line="440" w:lineRule="exact"/>
        <w:ind w:firstLine="420"/>
        <w:jc w:val="right"/>
        <w:rPr>
          <w:rFonts w:ascii="宋体" w:hAnsi="宋体" w:cs="宋体"/>
          <w:color w:val="auto"/>
          <w:highlight w:val="none"/>
        </w:rPr>
      </w:pPr>
    </w:p>
    <w:p w14:paraId="2A53C866">
      <w:pPr>
        <w:ind w:firstLine="0" w:firstLineChars="0"/>
        <w:jc w:val="left"/>
        <w:rPr>
          <w:rFonts w:ascii="宋体" w:hAnsi="宋体" w:cs="宋体"/>
          <w:bCs/>
          <w:color w:val="auto"/>
          <w:szCs w:val="21"/>
          <w:highlight w:val="none"/>
          <w:u w:val="single"/>
        </w:rPr>
      </w:pPr>
      <w:r>
        <w:rPr>
          <w:rFonts w:hint="eastAsia" w:ascii="宋体" w:hAnsi="宋体" w:cs="宋体"/>
          <w:color w:val="auto"/>
          <w:highlight w:val="none"/>
        </w:rPr>
        <w:br w:type="page"/>
      </w:r>
      <w:r>
        <w:rPr>
          <w:rFonts w:hint="eastAsia" w:ascii="宋体" w:hAnsi="宋体" w:cs="宋体"/>
          <w:b/>
          <w:color w:val="auto"/>
          <w:szCs w:val="21"/>
          <w:highlight w:val="none"/>
          <w:u w:val="single"/>
        </w:rPr>
        <w:t>附件4：</w:t>
      </w:r>
    </w:p>
    <w:p w14:paraId="0792FAB9">
      <w:pPr>
        <w:spacing w:line="440" w:lineRule="exact"/>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温州港南岳港务有限公司</w:t>
      </w:r>
    </w:p>
    <w:p w14:paraId="361318C6">
      <w:pPr>
        <w:spacing w:line="440" w:lineRule="exact"/>
        <w:ind w:firstLine="0" w:firstLineChars="0"/>
        <w:jc w:val="center"/>
        <w:outlineLvl w:val="2"/>
        <w:rPr>
          <w:rFonts w:ascii="宋体" w:hAnsi="宋体" w:cs="宋体"/>
          <w:b/>
          <w:bCs/>
          <w:color w:val="auto"/>
          <w:sz w:val="28"/>
          <w:szCs w:val="28"/>
          <w:highlight w:val="none"/>
        </w:rPr>
      </w:pPr>
      <w:r>
        <w:rPr>
          <w:rFonts w:hint="eastAsia" w:ascii="宋体" w:hAnsi="宋体" w:cs="宋体"/>
          <w:b/>
          <w:bCs/>
          <w:color w:val="auto"/>
          <w:sz w:val="28"/>
          <w:szCs w:val="28"/>
          <w:highlight w:val="none"/>
        </w:rPr>
        <w:t>消防安全管理协议</w:t>
      </w:r>
    </w:p>
    <w:p w14:paraId="639ABE4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w:t>
      </w:r>
      <w:r>
        <w:rPr>
          <w:rFonts w:hint="eastAsia" w:ascii="宋体" w:hAnsi="宋体" w:cs="宋体"/>
          <w:color w:val="auto"/>
          <w:szCs w:val="21"/>
          <w:highlight w:val="none"/>
          <w:u w:val="single"/>
        </w:rPr>
        <w:t xml:space="preserve"> 温州港南岳港务有限公司 </w:t>
      </w:r>
      <w:r>
        <w:rPr>
          <w:rFonts w:hint="eastAsia" w:ascii="宋体" w:hAnsi="宋体" w:cs="宋体"/>
          <w:color w:val="auto"/>
          <w:szCs w:val="21"/>
          <w:highlight w:val="none"/>
        </w:rPr>
        <w:t xml:space="preserve">   （以下简称甲方）</w:t>
      </w:r>
    </w:p>
    <w:p w14:paraId="05DCC20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乙方：</w:t>
      </w:r>
      <w:r>
        <w:rPr>
          <w:rFonts w:hint="eastAsia" w:ascii="宋体" w:hAnsi="宋体" w:cs="宋体"/>
          <w:color w:val="auto"/>
          <w:szCs w:val="21"/>
          <w:highlight w:val="none"/>
          <w:u w:val="single"/>
        </w:rPr>
        <w:t xml:space="preserve">                       </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 xml:space="preserve">   </w:t>
      </w:r>
      <w:r>
        <w:rPr>
          <w:rFonts w:hint="eastAsia" w:ascii="宋体" w:hAnsi="宋体" w:cs="宋体"/>
          <w:color w:val="auto"/>
          <w:szCs w:val="21"/>
          <w:highlight w:val="none"/>
        </w:rPr>
        <w:t>（以下简称乙方）</w:t>
      </w:r>
    </w:p>
    <w:p w14:paraId="51F48AF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为贯彻落实“预防为主，防消结合”方针，确保港区消防安全，杜绝与防止火灾事故的发生，根据《中华人民共和国消防法》、《中华人民共和国安全生产法》等法律法规的相关规定，经双方友好协商一致签订本协议书，具体条款如下：</w:t>
      </w:r>
    </w:p>
    <w:p w14:paraId="5D871547">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一、甲方的权利和责任</w:t>
      </w:r>
    </w:p>
    <w:p w14:paraId="3788CF7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（一）甲方依据《中华人民共和国消防法》等相关法律规定，可定期、不定期对所辖区域进行消防检查。</w:t>
      </w:r>
    </w:p>
    <w:p w14:paraId="013F28E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（二）对乙方消防管理工作不到位的，甲方可要求乙方立刻或限期落实消防防范措施，情节严重经甲方认定的可单方解除与乙方的业务合作协议。</w:t>
      </w:r>
    </w:p>
    <w:p w14:paraId="69E161FD">
      <w:pPr>
        <w:spacing w:line="440" w:lineRule="exact"/>
        <w:ind w:firstLine="422"/>
        <w:rPr>
          <w:rFonts w:ascii="宋体" w:hAnsi="宋体" w:cs="宋体"/>
          <w:b/>
          <w:color w:val="auto"/>
          <w:szCs w:val="21"/>
          <w:highlight w:val="none"/>
        </w:rPr>
      </w:pPr>
      <w:r>
        <w:rPr>
          <w:rFonts w:hint="eastAsia" w:ascii="宋体" w:hAnsi="宋体" w:cs="宋体"/>
          <w:b/>
          <w:color w:val="auto"/>
          <w:szCs w:val="21"/>
          <w:highlight w:val="none"/>
        </w:rPr>
        <w:t>（三）甲方对其本协议项下的权利与义务的行使情况，不能成为甲方承担不利后果的理由，乙方不得据此要求甲方承担责任或要求据此减轻乙方责任。</w:t>
      </w:r>
    </w:p>
    <w:p w14:paraId="5104D9CC">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二、乙方的权利和责任</w:t>
      </w:r>
    </w:p>
    <w:p w14:paraId="06AB061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1、乙方应接受甲方的监督与管理，落实安全防火措施，预防火灾和遏制火灾危害，不发生火灾事故。</w:t>
      </w:r>
    </w:p>
    <w:p w14:paraId="12F13FE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2、乙方应对责任区域的消防安全工作负有全部责任，并制定相关措施，确保消防安全。</w:t>
      </w:r>
    </w:p>
    <w:p w14:paraId="14C5C38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3、乙方应在每天下班前有专人落实消防安全检查，做到断水、断电、关窗锁门。</w:t>
      </w:r>
    </w:p>
    <w:p w14:paraId="5512608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4、乙方应确保各种用电设备、仪器保持正常运转，严禁超负荷运行，严禁设备、仪器带病作业。</w:t>
      </w:r>
    </w:p>
    <w:p w14:paraId="4406089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5、乙方应在安装和修理用电设备、仪器时，由电工或专业人员进行操作并认真检验。室内电路不准擅自变动，若因工作必须变动时，必须经甲方书面批准。</w:t>
      </w:r>
    </w:p>
    <w:p w14:paraId="74205C7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6、乙方不准私拉电力线路，未经甲方允许，不准使用大功率电器，以防火灾。</w:t>
      </w:r>
    </w:p>
    <w:p w14:paraId="48EE1EE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7、乙方不得超过原设备装裱容量和擅自增加用电。</w:t>
      </w:r>
    </w:p>
    <w:p w14:paraId="1D8621A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8、乙方对临时有需要动用明火需求的，须持相关特种作业证复印件、身份证复印件报甲方批准，在落实防范措施的情况下，方可使用。</w:t>
      </w:r>
    </w:p>
    <w:p w14:paraId="22CE99F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9、乙方在使用易燃易爆及其它危险品时，必须提前向甲方申报备案，未经批准，禁止使用和存放。</w:t>
      </w:r>
    </w:p>
    <w:p w14:paraId="48D2E39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10、乙方应根据实际情况配备足够的消防器材，消防器材要放置在指定地点，不准随意移动或作其他使用，不准在消防器材附近堆放任何物品。乙方要在每月对消防器材进行检查，做好检查记录，如发现失效的及时更换。</w:t>
      </w:r>
    </w:p>
    <w:p w14:paraId="751216F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11、乙方员工要了解并掌握消防器材的性能及使用方法。</w:t>
      </w:r>
    </w:p>
    <w:p w14:paraId="692D8E8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12、乙方涉及改造、装修、施工，凡涉及变动原用电、用水线路及管道，或新安装线路的，应事先向甲方书面申请，并提供相关线路布置图，以备日后检查、维修。</w:t>
      </w:r>
    </w:p>
    <w:p w14:paraId="506AA1D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13、乙方应保证消防通道的畅通，严禁占用、堵塞、封闭安全出口，影响安全消防通道的正常通行。</w:t>
      </w:r>
    </w:p>
    <w:p w14:paraId="46B5900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14、乙方应在现场作业过程中要加强对现场的监管，生产场所禁止吸烟。</w:t>
      </w:r>
    </w:p>
    <w:p w14:paraId="5AF7BFE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15、乙方严禁出现“三合一”情况，严禁擅自改变场所用途。</w:t>
      </w:r>
    </w:p>
    <w:p w14:paraId="0510BE2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olor w:val="auto"/>
          <w:szCs w:val="21"/>
          <w:highlight w:val="none"/>
        </w:rPr>
        <w:t>乙方应了解自身作业过程中的安全风险点，应对发现的安全问题在限期内落实整改，并书面反馈告知甲方，积极配合甲方开展隐患排查治理工作。对整改未反馈、未落实的，须根据甲方相关安全管理规定接受考核。</w:t>
      </w:r>
    </w:p>
    <w:p w14:paraId="00424615">
      <w:pPr>
        <w:spacing w:line="440" w:lineRule="exact"/>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乙方确认乙方人员所涉本协议项下的行为，视为乙方行为，其法律效果由乙方承担。</w:t>
      </w:r>
    </w:p>
    <w:p w14:paraId="61618803">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三、事故处理</w:t>
      </w:r>
    </w:p>
    <w:p w14:paraId="45955A2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因乙方未按甲方要求</w:t>
      </w:r>
      <w:r>
        <w:rPr>
          <w:rFonts w:hint="eastAsia" w:ascii="宋体" w:hAnsi="宋体" w:cs="宋体"/>
          <w:color w:val="auto"/>
          <w:szCs w:val="21"/>
          <w:highlight w:val="none"/>
        </w:rPr>
        <w:t>，</w:t>
      </w:r>
      <w:r>
        <w:rPr>
          <w:rFonts w:ascii="宋体" w:hAnsi="宋体" w:cs="宋体"/>
          <w:color w:val="auto"/>
          <w:szCs w:val="21"/>
          <w:highlight w:val="none"/>
        </w:rPr>
        <w:t>或未尽乙方自身</w:t>
      </w:r>
      <w:r>
        <w:rPr>
          <w:rFonts w:hint="eastAsia" w:ascii="宋体" w:hAnsi="宋体" w:cs="宋体"/>
          <w:color w:val="auto"/>
          <w:szCs w:val="21"/>
          <w:highlight w:val="none"/>
        </w:rPr>
        <w:t>职责</w:t>
      </w:r>
      <w:r>
        <w:rPr>
          <w:rFonts w:ascii="宋体" w:hAnsi="宋体" w:cs="宋体"/>
          <w:color w:val="auto"/>
          <w:szCs w:val="21"/>
          <w:highlight w:val="none"/>
        </w:rPr>
        <w:t>疏于管理</w:t>
      </w:r>
      <w:r>
        <w:rPr>
          <w:rFonts w:hint="eastAsia" w:ascii="宋体" w:hAnsi="宋体" w:cs="宋体"/>
          <w:color w:val="auto"/>
          <w:szCs w:val="21"/>
          <w:highlight w:val="none"/>
        </w:rPr>
        <w:t>及</w:t>
      </w:r>
      <w:r>
        <w:rPr>
          <w:rFonts w:ascii="宋体" w:hAnsi="宋体" w:cs="宋体"/>
          <w:color w:val="auto"/>
          <w:szCs w:val="21"/>
          <w:highlight w:val="none"/>
        </w:rPr>
        <w:t>违章违法作业</w:t>
      </w:r>
      <w:r>
        <w:rPr>
          <w:rFonts w:hint="eastAsia" w:ascii="宋体" w:hAnsi="宋体" w:cs="宋体"/>
          <w:color w:val="auto"/>
          <w:szCs w:val="21"/>
          <w:highlight w:val="none"/>
        </w:rPr>
        <w:t>，</w:t>
      </w:r>
      <w:r>
        <w:rPr>
          <w:rFonts w:ascii="宋体" w:hAnsi="宋体" w:cs="宋体"/>
          <w:color w:val="auto"/>
          <w:szCs w:val="21"/>
          <w:highlight w:val="none"/>
        </w:rPr>
        <w:t>发生</w:t>
      </w:r>
      <w:r>
        <w:rPr>
          <w:rFonts w:hint="eastAsia" w:ascii="宋体" w:hAnsi="宋体" w:cs="宋体"/>
          <w:color w:val="auto"/>
          <w:szCs w:val="21"/>
          <w:highlight w:val="none"/>
        </w:rPr>
        <w:t>消防</w:t>
      </w:r>
      <w:r>
        <w:rPr>
          <w:rFonts w:ascii="宋体" w:hAnsi="宋体" w:cs="宋体"/>
          <w:color w:val="auto"/>
          <w:szCs w:val="21"/>
          <w:highlight w:val="none"/>
        </w:rPr>
        <w:t>事故的，</w:t>
      </w:r>
      <w:r>
        <w:rPr>
          <w:rFonts w:hint="eastAsia" w:ascii="宋体" w:hAnsi="宋体" w:cs="宋体"/>
          <w:color w:val="auto"/>
          <w:szCs w:val="21"/>
          <w:highlight w:val="none"/>
        </w:rPr>
        <w:t>乙方要承担事故</w:t>
      </w:r>
      <w:r>
        <w:rPr>
          <w:rFonts w:ascii="宋体" w:hAnsi="宋体" w:cs="宋体"/>
          <w:color w:val="auto"/>
          <w:szCs w:val="21"/>
          <w:highlight w:val="none"/>
        </w:rPr>
        <w:t>全部责任</w:t>
      </w:r>
      <w:r>
        <w:rPr>
          <w:rFonts w:hint="eastAsia" w:ascii="宋体" w:hAnsi="宋体" w:cs="宋体"/>
          <w:color w:val="auto"/>
          <w:szCs w:val="21"/>
          <w:highlight w:val="none"/>
        </w:rPr>
        <w:t>。若甲方因该事故被上级公司处罚的，乙方需承担甲方因处罚遭受的经济损失。</w:t>
      </w:r>
    </w:p>
    <w:p w14:paraId="519D080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2、如乙方消防管理不善，事故防范措施落实不力，事故、违章行为频发，甲方有权提前解除服务合同或要求乙方对相关人员进行解聘，由此产生的后果与责任均由乙方自行处理并负责。</w:t>
      </w:r>
    </w:p>
    <w:p w14:paraId="7766EB75">
      <w:pPr>
        <w:spacing w:line="440" w:lineRule="exact"/>
        <w:ind w:firstLine="422"/>
        <w:rPr>
          <w:rFonts w:ascii="宋体" w:hAnsi="宋体" w:cs="宋体"/>
          <w:color w:val="auto"/>
          <w:szCs w:val="21"/>
          <w:highlight w:val="none"/>
        </w:rPr>
      </w:pPr>
      <w:r>
        <w:rPr>
          <w:rFonts w:hint="eastAsia" w:ascii="宋体" w:hAnsi="宋体" w:cs="宋体"/>
          <w:b/>
          <w:bCs/>
          <w:color w:val="auto"/>
          <w:szCs w:val="21"/>
          <w:highlight w:val="none"/>
        </w:rPr>
        <w:t>四、本协议各项规定适用于协议双方，如遇有同国家和政府有关法律、法规不符的按国家和政府的有关规定执行。</w:t>
      </w:r>
    </w:p>
    <w:p w14:paraId="65C5871D">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五、本协议履行期与甲乙双方签订的主合同一致。</w:t>
      </w:r>
    </w:p>
    <w:p w14:paraId="66B5AA8F">
      <w:pPr>
        <w:spacing w:line="440" w:lineRule="exact"/>
        <w:ind w:firstLine="422"/>
        <w:rPr>
          <w:rFonts w:ascii="宋体" w:hAnsi="宋体" w:cs="宋体"/>
          <w:b/>
          <w:color w:val="auto"/>
          <w:szCs w:val="21"/>
          <w:highlight w:val="none"/>
        </w:rPr>
      </w:pPr>
      <w:r>
        <w:rPr>
          <w:rFonts w:hint="eastAsia" w:ascii="宋体" w:hAnsi="宋体" w:cs="宋体"/>
          <w:b/>
          <w:bCs/>
          <w:color w:val="auto"/>
          <w:szCs w:val="21"/>
          <w:highlight w:val="none"/>
        </w:rPr>
        <w:t>六、本</w:t>
      </w:r>
      <w:r>
        <w:rPr>
          <w:rFonts w:hint="eastAsia" w:ascii="宋体" w:hAnsi="宋体" w:cs="宋体"/>
          <w:b/>
          <w:color w:val="auto"/>
          <w:szCs w:val="21"/>
          <w:highlight w:val="none"/>
        </w:rPr>
        <w:t>协议书壹式贰份，甲、乙双方各执壹份，具有同等法律效力。</w:t>
      </w:r>
    </w:p>
    <w:p w14:paraId="11EEC74D">
      <w:pPr>
        <w:spacing w:line="440" w:lineRule="exact"/>
        <w:ind w:firstLine="422"/>
        <w:rPr>
          <w:rFonts w:ascii="宋体" w:hAnsi="宋体"/>
          <w:b/>
          <w:bCs/>
          <w:color w:val="auto"/>
          <w:szCs w:val="21"/>
          <w:highlight w:val="none"/>
          <w:lang w:val="zh-CN"/>
        </w:rPr>
      </w:pPr>
      <w:r>
        <w:rPr>
          <w:rFonts w:hint="eastAsia" w:ascii="宋体" w:hAnsi="宋体" w:cs="宋体"/>
          <w:b/>
          <w:color w:val="auto"/>
          <w:szCs w:val="21"/>
          <w:highlight w:val="none"/>
        </w:rPr>
        <w:t>七、</w:t>
      </w:r>
      <w:r>
        <w:rPr>
          <w:rFonts w:hint="eastAsia" w:ascii="宋体" w:hAnsi="宋体"/>
          <w:b/>
          <w:bCs/>
          <w:color w:val="auto"/>
          <w:szCs w:val="21"/>
          <w:highlight w:val="none"/>
        </w:rPr>
        <w:t>在执行本协议过程中产生的或与本协议有关的争议及分歧，参照主合同有关争议解决的方式执行。</w:t>
      </w:r>
    </w:p>
    <w:p w14:paraId="1489B48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甲方：温州港南岳港务有限公司    乙方：</w:t>
      </w:r>
    </w:p>
    <w:p w14:paraId="307E0E98">
      <w:pPr>
        <w:spacing w:line="440" w:lineRule="exact"/>
        <w:ind w:firstLine="420"/>
        <w:rPr>
          <w:rFonts w:ascii="宋体" w:hAnsi="宋体" w:cs="宋体"/>
          <w:color w:val="auto"/>
          <w:szCs w:val="21"/>
          <w:highlight w:val="none"/>
        </w:rPr>
      </w:pPr>
    </w:p>
    <w:p w14:paraId="747B443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甲方代表（签字）：                 乙方代表（签字）：</w:t>
      </w:r>
    </w:p>
    <w:p w14:paraId="5EE244C8">
      <w:pPr>
        <w:spacing w:line="440" w:lineRule="exact"/>
        <w:ind w:firstLine="420"/>
        <w:rPr>
          <w:rFonts w:ascii="宋体" w:hAnsi="宋体" w:cs="宋体"/>
          <w:color w:val="auto"/>
          <w:szCs w:val="21"/>
          <w:highlight w:val="none"/>
        </w:rPr>
      </w:pPr>
    </w:p>
    <w:p w14:paraId="681DEC5A">
      <w:pPr>
        <w:tabs>
          <w:tab w:val="right" w:pos="7186"/>
        </w:tabs>
        <w:spacing w:line="440" w:lineRule="exact"/>
        <w:ind w:right="1120" w:firstLine="420"/>
        <w:jc w:val="right"/>
        <w:rPr>
          <w:rFonts w:ascii="宋体" w:hAnsi="宋体" w:cs="宋体"/>
          <w:color w:val="auto"/>
          <w:szCs w:val="21"/>
          <w:highlight w:val="none"/>
        </w:rPr>
      </w:pPr>
      <w:r>
        <w:rPr>
          <w:rFonts w:hint="eastAsia" w:ascii="宋体" w:hAnsi="宋体" w:cs="宋体"/>
          <w:color w:val="auto"/>
          <w:szCs w:val="21"/>
          <w:highlight w:val="none"/>
        </w:rPr>
        <w:t>签订时间：   年   月   日</w:t>
      </w:r>
    </w:p>
    <w:p w14:paraId="227BEB00">
      <w:pPr>
        <w:spacing w:line="240" w:lineRule="auto"/>
        <w:ind w:firstLine="0" w:firstLineChars="0"/>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u w:val="single"/>
        </w:rPr>
        <w:t>附件5：</w:t>
      </w:r>
    </w:p>
    <w:p w14:paraId="7F2C5884">
      <w:pPr>
        <w:spacing w:line="440" w:lineRule="exact"/>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温州港南岳港务有限公司</w:t>
      </w:r>
    </w:p>
    <w:p w14:paraId="678BF2FF">
      <w:pPr>
        <w:spacing w:line="440" w:lineRule="exact"/>
        <w:ind w:firstLine="0" w:firstLineChars="0"/>
        <w:jc w:val="center"/>
        <w:outlineLvl w:val="2"/>
        <w:rPr>
          <w:rFonts w:ascii="宋体" w:hAnsi="宋体" w:cs="宋体"/>
          <w:b/>
          <w:bCs/>
          <w:color w:val="auto"/>
          <w:sz w:val="28"/>
          <w:szCs w:val="28"/>
          <w:highlight w:val="none"/>
        </w:rPr>
      </w:pPr>
      <w:r>
        <w:rPr>
          <w:rFonts w:hint="eastAsia" w:ascii="宋体" w:hAnsi="宋体" w:cs="宋体"/>
          <w:b/>
          <w:bCs/>
          <w:color w:val="auto"/>
          <w:sz w:val="28"/>
          <w:szCs w:val="28"/>
          <w:highlight w:val="none"/>
        </w:rPr>
        <w:t>环境保护管理协议</w:t>
      </w:r>
    </w:p>
    <w:p w14:paraId="57F4C668">
      <w:pPr>
        <w:spacing w:line="440" w:lineRule="exact"/>
        <w:ind w:firstLine="420"/>
        <w:rPr>
          <w:rFonts w:ascii="宋体" w:hAnsi="宋体"/>
          <w:color w:val="auto"/>
          <w:szCs w:val="21"/>
          <w:highlight w:val="none"/>
        </w:rPr>
      </w:pPr>
      <w:r>
        <w:rPr>
          <w:rFonts w:hint="eastAsia" w:ascii="宋体" w:hAnsi="宋体"/>
          <w:color w:val="auto"/>
          <w:szCs w:val="21"/>
          <w:highlight w:val="none"/>
        </w:rPr>
        <w:t>甲方：</w:t>
      </w:r>
      <w:r>
        <w:rPr>
          <w:rFonts w:hint="eastAsia" w:ascii="宋体" w:hAnsi="宋体"/>
          <w:color w:val="auto"/>
          <w:szCs w:val="21"/>
          <w:highlight w:val="none"/>
          <w:u w:val="single"/>
        </w:rPr>
        <w:t xml:space="preserve">   温州港南岳港务有限公司   </w:t>
      </w:r>
      <w:r>
        <w:rPr>
          <w:rFonts w:hint="eastAsia" w:ascii="宋体" w:hAnsi="宋体" w:cs="宋体"/>
          <w:color w:val="auto"/>
          <w:szCs w:val="21"/>
          <w:highlight w:val="none"/>
        </w:rPr>
        <w:t>（以下简称甲方）</w:t>
      </w:r>
    </w:p>
    <w:p w14:paraId="77DBC912">
      <w:pPr>
        <w:spacing w:line="440" w:lineRule="exact"/>
        <w:ind w:firstLine="420"/>
        <w:jc w:val="left"/>
        <w:rPr>
          <w:rFonts w:ascii="宋体" w:hAnsi="宋体"/>
          <w:color w:val="auto"/>
          <w:szCs w:val="21"/>
          <w:highlight w:val="none"/>
          <w:u w:val="single"/>
        </w:rPr>
      </w:pPr>
      <w:r>
        <w:rPr>
          <w:rFonts w:hint="eastAsia" w:ascii="宋体" w:hAnsi="宋体"/>
          <w:color w:val="auto"/>
          <w:szCs w:val="21"/>
          <w:highlight w:val="none"/>
        </w:rPr>
        <w:t>乙方：</w:t>
      </w:r>
      <w:r>
        <w:rPr>
          <w:rFonts w:hint="eastAsia" w:ascii="宋体" w:hAnsi="宋体"/>
          <w:color w:val="auto"/>
          <w:szCs w:val="21"/>
          <w:highlight w:val="none"/>
          <w:u w:val="single"/>
        </w:rPr>
        <w:t xml:space="preserve">                              </w:t>
      </w:r>
      <w:r>
        <w:rPr>
          <w:rFonts w:hint="eastAsia" w:ascii="宋体" w:hAnsi="宋体" w:cs="宋体"/>
          <w:color w:val="auto"/>
          <w:szCs w:val="21"/>
          <w:highlight w:val="none"/>
        </w:rPr>
        <w:t>（以下简称乙方）</w:t>
      </w:r>
    </w:p>
    <w:p w14:paraId="79DD490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为保护环境，实现国家和企业可持续发展的根本保证，降低资源的耗能，改善生态环境。根据《中华人民共和国环境保护法》、《中华人民共和国大气污染防治法》、《中华人民共和国噪声污染防治法》、《中华人民共和国固体废物污染环境防治法》等有关法律法规，服从行业管理，接受有关单位监督检查，经甲乙双方平等协商一致，签订本协议，望双方共同遵守。</w:t>
      </w:r>
    </w:p>
    <w:p w14:paraId="5E48951E">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一、甲方责任和权利</w:t>
      </w:r>
    </w:p>
    <w:p w14:paraId="7DEF994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（一）甲方依据《中华人民共和国环境保护法》等有关环境保护的法律、法规，可定期、不定期对所辖区域进行环保检查。</w:t>
      </w:r>
    </w:p>
    <w:p w14:paraId="13C43B0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（二）对乙方环保管理工作不到位的，甲方可要求乙方立刻或限期落实环保防范措施；情节严重经甲方认定的可单方解除与乙方的业务合作协议。</w:t>
      </w:r>
    </w:p>
    <w:p w14:paraId="321E01B4">
      <w:pPr>
        <w:spacing w:line="440" w:lineRule="exact"/>
        <w:ind w:firstLine="422"/>
        <w:rPr>
          <w:rFonts w:ascii="宋体" w:hAnsi="宋体" w:cs="宋体"/>
          <w:b/>
          <w:color w:val="auto"/>
          <w:szCs w:val="21"/>
          <w:highlight w:val="none"/>
        </w:rPr>
      </w:pPr>
      <w:r>
        <w:rPr>
          <w:rFonts w:hint="eastAsia" w:ascii="宋体" w:hAnsi="宋体" w:cs="宋体"/>
          <w:b/>
          <w:color w:val="auto"/>
          <w:szCs w:val="21"/>
          <w:highlight w:val="none"/>
        </w:rPr>
        <w:t>（三）甲方对其本协议项下的权利与义务的行使情况，不能成为甲方承担不利后果的理由，乙方不得据此要求甲方承担责任或要求据此减轻乙方责任。</w:t>
      </w:r>
    </w:p>
    <w:p w14:paraId="051276A0">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二、乙方责任和权利</w:t>
      </w:r>
    </w:p>
    <w:p w14:paraId="044B260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1、乙方应按照《中华人民共和国环境保护法》全面负责承包范围内环境保护职责，对承包作业的工艺流程实施环保管理和督查。落实生产作业过程中的环境保护措施，做好相关环保工作。</w:t>
      </w:r>
    </w:p>
    <w:p w14:paraId="5193F4B4">
      <w:pPr>
        <w:autoSpaceDE w:val="0"/>
        <w:autoSpaceDN w:val="0"/>
        <w:adjustRightInd w:val="0"/>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2、乙方应落实环保和卫生管控目标：无一般及以上环境污染事件；无一般及以上公共卫生事件；无职业病病例。</w:t>
      </w:r>
    </w:p>
    <w:p w14:paraId="3D26AD4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3、乙方应遵守国家有关环境保护法律法规和甲方有关规章制度，服从甲方人员全口径管理。</w:t>
      </w:r>
    </w:p>
    <w:p w14:paraId="5B127F0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4、乙方应为乙方人员配备符合国家标准的劳保用品，并督促正确穿戴，保障工作人员的安全与健康。</w:t>
      </w:r>
    </w:p>
    <w:p w14:paraId="660C4DAB">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5、乙方应对作业现场的环境保护工作进行监管。对上级监管单位或甲方签发的关于环境保护的隐患整改通知书，乙方应做到认真整改，及时书面反馈整改情况。</w:t>
      </w:r>
    </w:p>
    <w:p w14:paraId="6345190C">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6、乙方应对工作中可能产生的废气、噪音、粉尘等加以有效地控制，对于进入甲方所辖生产作业区内的机械车辆应尽可能地控制废气、粉尘，产生噪音，以降低对环境的污染。</w:t>
      </w:r>
    </w:p>
    <w:p w14:paraId="035932E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7、乙方应合理地使用日常资源（如水、电、气等），人离开关（阀门）关闭的良好习惯，做到既节约能源、又确保安全。</w:t>
      </w:r>
    </w:p>
    <w:p w14:paraId="447BEF0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8、乙方应尽量减少污水的产生，并合法、恰当、合理地处理日常污水的排放。</w:t>
      </w:r>
    </w:p>
    <w:p w14:paraId="4B4DD03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9、乙方应有义务积极参与甲方的各种环保应急工作。</w:t>
      </w:r>
    </w:p>
    <w:p w14:paraId="70B1629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10</w:t>
      </w:r>
      <w:r>
        <w:rPr>
          <w:rFonts w:ascii="宋体" w:hAnsi="宋体" w:cs="宋体"/>
          <w:color w:val="auto"/>
          <w:szCs w:val="21"/>
          <w:highlight w:val="none"/>
        </w:rPr>
        <w:t>、</w:t>
      </w:r>
      <w:r>
        <w:rPr>
          <w:rFonts w:hint="eastAsia" w:ascii="宋体" w:hAnsi="宋体" w:cs="宋体"/>
          <w:color w:val="auto"/>
          <w:szCs w:val="21"/>
          <w:highlight w:val="none"/>
        </w:rPr>
        <w:t>乙方确认乙方人员所涉本协议项下的行为，视为乙方行为，其法律效果由乙方承担。</w:t>
      </w:r>
    </w:p>
    <w:p w14:paraId="5D9B75F6">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三、事故处理</w:t>
      </w:r>
    </w:p>
    <w:p w14:paraId="49F7917C">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因乙方未按甲方要求</w:t>
      </w:r>
      <w:r>
        <w:rPr>
          <w:rFonts w:hint="eastAsia" w:ascii="宋体" w:hAnsi="宋体" w:cs="宋体"/>
          <w:color w:val="auto"/>
          <w:szCs w:val="21"/>
          <w:highlight w:val="none"/>
        </w:rPr>
        <w:t>，</w:t>
      </w:r>
      <w:r>
        <w:rPr>
          <w:rFonts w:ascii="宋体" w:hAnsi="宋体" w:cs="宋体"/>
          <w:color w:val="auto"/>
          <w:szCs w:val="21"/>
          <w:highlight w:val="none"/>
        </w:rPr>
        <w:t>或未尽乙方自身</w:t>
      </w:r>
      <w:r>
        <w:rPr>
          <w:rFonts w:hint="eastAsia" w:ascii="宋体" w:hAnsi="宋体" w:cs="宋体"/>
          <w:color w:val="auto"/>
          <w:szCs w:val="21"/>
          <w:highlight w:val="none"/>
        </w:rPr>
        <w:t>职责</w:t>
      </w:r>
      <w:r>
        <w:rPr>
          <w:rFonts w:ascii="宋体" w:hAnsi="宋体" w:cs="宋体"/>
          <w:color w:val="auto"/>
          <w:szCs w:val="21"/>
          <w:highlight w:val="none"/>
        </w:rPr>
        <w:t>疏于管理</w:t>
      </w:r>
      <w:r>
        <w:rPr>
          <w:rFonts w:hint="eastAsia" w:ascii="宋体" w:hAnsi="宋体" w:cs="宋体"/>
          <w:color w:val="auto"/>
          <w:szCs w:val="21"/>
          <w:highlight w:val="none"/>
        </w:rPr>
        <w:t>及</w:t>
      </w:r>
      <w:r>
        <w:rPr>
          <w:rFonts w:ascii="宋体" w:hAnsi="宋体" w:cs="宋体"/>
          <w:color w:val="auto"/>
          <w:szCs w:val="21"/>
          <w:highlight w:val="none"/>
        </w:rPr>
        <w:t>违章违法作业</w:t>
      </w:r>
      <w:r>
        <w:rPr>
          <w:rFonts w:hint="eastAsia" w:ascii="宋体" w:hAnsi="宋体" w:cs="宋体"/>
          <w:color w:val="auto"/>
          <w:szCs w:val="21"/>
          <w:highlight w:val="none"/>
        </w:rPr>
        <w:t>，</w:t>
      </w:r>
      <w:r>
        <w:rPr>
          <w:rFonts w:ascii="宋体" w:hAnsi="宋体" w:cs="宋体"/>
          <w:color w:val="auto"/>
          <w:szCs w:val="21"/>
          <w:highlight w:val="none"/>
        </w:rPr>
        <w:t>发生</w:t>
      </w:r>
      <w:r>
        <w:rPr>
          <w:rFonts w:hint="eastAsia" w:ascii="宋体" w:hAnsi="宋体" w:cs="宋体"/>
          <w:color w:val="auto"/>
          <w:szCs w:val="21"/>
          <w:highlight w:val="none"/>
        </w:rPr>
        <w:t>环境保护</w:t>
      </w:r>
      <w:r>
        <w:rPr>
          <w:rFonts w:ascii="宋体" w:hAnsi="宋体" w:cs="宋体"/>
          <w:color w:val="auto"/>
          <w:szCs w:val="21"/>
          <w:highlight w:val="none"/>
        </w:rPr>
        <w:t>事故的，</w:t>
      </w:r>
      <w:r>
        <w:rPr>
          <w:rFonts w:hint="eastAsia" w:ascii="宋体" w:hAnsi="宋体" w:cs="宋体"/>
          <w:color w:val="auto"/>
          <w:szCs w:val="21"/>
          <w:highlight w:val="none"/>
        </w:rPr>
        <w:t>乙方要承担事故</w:t>
      </w:r>
      <w:r>
        <w:rPr>
          <w:rFonts w:ascii="宋体" w:hAnsi="宋体" w:cs="宋体"/>
          <w:color w:val="auto"/>
          <w:szCs w:val="21"/>
          <w:highlight w:val="none"/>
        </w:rPr>
        <w:t>全部责任</w:t>
      </w:r>
      <w:r>
        <w:rPr>
          <w:rFonts w:hint="eastAsia" w:ascii="宋体" w:hAnsi="宋体" w:cs="宋体"/>
          <w:color w:val="auto"/>
          <w:szCs w:val="21"/>
          <w:highlight w:val="none"/>
        </w:rPr>
        <w:t>。若甲方因该事故被上级公司处罚的，乙方需承担甲方因处罚遭受的经济损失。</w:t>
      </w:r>
    </w:p>
    <w:p w14:paraId="03831F3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2、如乙方环境保护管理不善，事故防范措施落实不力，事故、违章行为频发，甲方有权提前解除服务合同或要求乙方限期更换相关人员，由此产生的后果与责任均由乙方自行处理并负责。</w:t>
      </w:r>
    </w:p>
    <w:p w14:paraId="550EB8EC">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四、本协议各项规定适用于协议双方，如遇有同国家和政府有关法律、法规不符的按国家和政府的有关规定执行。</w:t>
      </w:r>
    </w:p>
    <w:p w14:paraId="38F96504">
      <w:pPr>
        <w:spacing w:line="440" w:lineRule="exact"/>
        <w:ind w:firstLine="422"/>
        <w:rPr>
          <w:rFonts w:ascii="宋体" w:hAnsi="宋体"/>
          <w:b/>
          <w:bCs/>
          <w:color w:val="auto"/>
          <w:szCs w:val="21"/>
          <w:highlight w:val="none"/>
          <w:lang w:val="zh-CN"/>
        </w:rPr>
      </w:pPr>
      <w:r>
        <w:rPr>
          <w:rFonts w:hint="eastAsia" w:ascii="宋体" w:hAnsi="宋体" w:cs="宋体"/>
          <w:b/>
          <w:bCs/>
          <w:color w:val="auto"/>
          <w:szCs w:val="21"/>
          <w:highlight w:val="none"/>
        </w:rPr>
        <w:t>五、</w:t>
      </w:r>
      <w:r>
        <w:rPr>
          <w:rFonts w:hint="eastAsia" w:ascii="宋体" w:hAnsi="宋体"/>
          <w:b/>
          <w:bCs/>
          <w:color w:val="auto"/>
          <w:szCs w:val="21"/>
          <w:highlight w:val="none"/>
        </w:rPr>
        <w:t>在执行本协议过程中产生的或与本协议有关的争议及分歧，参照主合同有关争议解决的方式执行。</w:t>
      </w:r>
    </w:p>
    <w:p w14:paraId="14D8FA66">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六、本协议履行期与甲乙双方签订的主合同一致。</w:t>
      </w:r>
    </w:p>
    <w:p w14:paraId="258EE69A">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七、本协议壹式贰份，甲、乙双方各执壹份，具有同等法律效力。</w:t>
      </w:r>
    </w:p>
    <w:p w14:paraId="0DD96ADA">
      <w:pPr>
        <w:spacing w:line="440" w:lineRule="exact"/>
        <w:ind w:firstLine="422"/>
        <w:rPr>
          <w:rFonts w:ascii="宋体" w:hAnsi="宋体" w:cs="宋体"/>
          <w:b/>
          <w:color w:val="auto"/>
          <w:szCs w:val="21"/>
          <w:highlight w:val="none"/>
        </w:rPr>
      </w:pPr>
    </w:p>
    <w:p w14:paraId="228DB08B">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甲方：温州港南岳港务有限公司    乙方：</w:t>
      </w:r>
    </w:p>
    <w:p w14:paraId="682CC17C">
      <w:pPr>
        <w:spacing w:line="440" w:lineRule="exact"/>
        <w:ind w:firstLine="420"/>
        <w:rPr>
          <w:rFonts w:ascii="宋体" w:hAnsi="宋体" w:cs="宋体"/>
          <w:color w:val="auto"/>
          <w:szCs w:val="21"/>
          <w:highlight w:val="none"/>
        </w:rPr>
      </w:pPr>
    </w:p>
    <w:p w14:paraId="04C0C5AD">
      <w:pPr>
        <w:spacing w:line="440" w:lineRule="exact"/>
        <w:ind w:firstLine="420"/>
        <w:rPr>
          <w:rFonts w:ascii="宋体" w:hAnsi="宋体" w:cs="宋体"/>
          <w:color w:val="auto"/>
          <w:szCs w:val="21"/>
          <w:highlight w:val="none"/>
        </w:rPr>
      </w:pPr>
    </w:p>
    <w:p w14:paraId="112641E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甲方代表（签字）：                 乙方代表（签字）：</w:t>
      </w:r>
    </w:p>
    <w:p w14:paraId="534F4E23">
      <w:pPr>
        <w:spacing w:line="440" w:lineRule="exact"/>
        <w:ind w:firstLine="420"/>
        <w:rPr>
          <w:rFonts w:ascii="宋体" w:hAnsi="宋体" w:cs="宋体"/>
          <w:color w:val="auto"/>
          <w:szCs w:val="21"/>
          <w:highlight w:val="none"/>
        </w:rPr>
      </w:pPr>
    </w:p>
    <w:p w14:paraId="36C33F90">
      <w:pPr>
        <w:spacing w:line="440" w:lineRule="exact"/>
        <w:ind w:firstLine="420"/>
        <w:rPr>
          <w:rFonts w:ascii="宋体" w:hAnsi="宋体" w:cs="宋体"/>
          <w:color w:val="auto"/>
          <w:szCs w:val="21"/>
          <w:highlight w:val="none"/>
        </w:rPr>
      </w:pPr>
    </w:p>
    <w:p w14:paraId="7975E163">
      <w:pPr>
        <w:tabs>
          <w:tab w:val="right" w:pos="7186"/>
        </w:tabs>
        <w:spacing w:line="440" w:lineRule="exact"/>
        <w:ind w:right="1120" w:firstLine="420"/>
        <w:jc w:val="right"/>
        <w:rPr>
          <w:rFonts w:ascii="宋体" w:hAnsi="宋体" w:cs="宋体"/>
          <w:color w:val="auto"/>
          <w:szCs w:val="21"/>
          <w:highlight w:val="none"/>
        </w:rPr>
      </w:pPr>
      <w:r>
        <w:rPr>
          <w:rFonts w:hint="eastAsia" w:ascii="宋体" w:hAnsi="宋体" w:cs="宋体"/>
          <w:color w:val="auto"/>
          <w:szCs w:val="21"/>
          <w:highlight w:val="none"/>
        </w:rPr>
        <w:t>签订时间：   年   月   日</w:t>
      </w:r>
    </w:p>
    <w:p w14:paraId="74FC5E4E">
      <w:pPr>
        <w:tabs>
          <w:tab w:val="right" w:pos="7186"/>
        </w:tabs>
        <w:ind w:firstLine="0" w:firstLineChars="0"/>
        <w:jc w:val="right"/>
        <w:rPr>
          <w:rFonts w:ascii="宋体" w:hAnsi="宋体" w:cs="宋体"/>
          <w:color w:val="auto"/>
          <w:sz w:val="22"/>
          <w:szCs w:val="22"/>
          <w:highlight w:val="none"/>
        </w:rPr>
      </w:pPr>
    </w:p>
    <w:p w14:paraId="649B47EF">
      <w:pPr>
        <w:spacing w:line="240" w:lineRule="auto"/>
        <w:ind w:firstLine="0" w:firstLineChars="0"/>
        <w:jc w:val="left"/>
        <w:rPr>
          <w:rFonts w:ascii="宋体" w:hAnsi="宋体" w:cs="宋体"/>
          <w:b/>
          <w:color w:val="auto"/>
          <w:szCs w:val="21"/>
          <w:highlight w:val="none"/>
        </w:rPr>
      </w:pPr>
      <w:r>
        <w:rPr>
          <w:rFonts w:hint="eastAsia" w:ascii="宋体" w:hAnsi="宋体" w:cs="宋体"/>
          <w:color w:val="auto"/>
          <w:kern w:val="0"/>
          <w:sz w:val="32"/>
          <w:szCs w:val="32"/>
          <w:highlight w:val="none"/>
        </w:rPr>
        <w:br w:type="page"/>
      </w:r>
      <w:r>
        <w:rPr>
          <w:rFonts w:hint="eastAsia" w:ascii="宋体" w:hAnsi="宋体" w:cs="宋体"/>
          <w:b/>
          <w:color w:val="auto"/>
          <w:szCs w:val="21"/>
          <w:highlight w:val="none"/>
          <w:u w:val="single"/>
        </w:rPr>
        <w:t>附件6：</w:t>
      </w:r>
    </w:p>
    <w:p w14:paraId="264EE612">
      <w:pPr>
        <w:spacing w:line="440" w:lineRule="exact"/>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温州港南岳港务有限公司</w:t>
      </w:r>
    </w:p>
    <w:p w14:paraId="22637636">
      <w:pPr>
        <w:spacing w:line="440" w:lineRule="exact"/>
        <w:ind w:firstLine="0" w:firstLineChars="0"/>
        <w:jc w:val="center"/>
        <w:outlineLvl w:val="2"/>
        <w:rPr>
          <w:rFonts w:ascii="宋体" w:hAnsi="宋体" w:cs="宋体"/>
          <w:b/>
          <w:bCs/>
          <w:color w:val="auto"/>
          <w:sz w:val="28"/>
          <w:szCs w:val="28"/>
          <w:highlight w:val="none"/>
        </w:rPr>
      </w:pPr>
      <w:r>
        <w:rPr>
          <w:rFonts w:hint="eastAsia" w:ascii="宋体" w:hAnsi="宋体" w:cs="宋体"/>
          <w:b/>
          <w:bCs/>
          <w:color w:val="auto"/>
          <w:sz w:val="28"/>
          <w:szCs w:val="28"/>
          <w:highlight w:val="none"/>
        </w:rPr>
        <w:t>相关方入港安全告知书</w:t>
      </w:r>
    </w:p>
    <w:p w14:paraId="38827AAF">
      <w:pPr>
        <w:spacing w:line="440" w:lineRule="exact"/>
        <w:ind w:firstLine="420"/>
        <w:rPr>
          <w:rFonts w:ascii="宋体" w:hAnsi="宋体"/>
          <w:color w:val="auto"/>
          <w:szCs w:val="21"/>
          <w:highlight w:val="none"/>
        </w:rPr>
      </w:pPr>
      <w:r>
        <w:rPr>
          <w:rFonts w:hint="eastAsia" w:ascii="宋体" w:hAnsi="宋体"/>
          <w:color w:val="auto"/>
          <w:szCs w:val="21"/>
          <w:highlight w:val="none"/>
        </w:rPr>
        <w:t>为了构建良好的作业环境，保障港口生产作业的顺利进行，同时为了您的安全，请您在进入乐清湾港区前仔细阅读本“安全告知书”，并严格遵守。</w:t>
      </w:r>
    </w:p>
    <w:p w14:paraId="04008CAC">
      <w:pPr>
        <w:spacing w:line="440" w:lineRule="exact"/>
        <w:ind w:firstLine="422"/>
        <w:rPr>
          <w:rFonts w:ascii="宋体" w:hAnsi="宋体"/>
          <w:b/>
          <w:color w:val="auto"/>
          <w:szCs w:val="21"/>
          <w:highlight w:val="none"/>
        </w:rPr>
      </w:pPr>
      <w:r>
        <w:rPr>
          <w:rFonts w:ascii="宋体" w:hAnsi="宋体"/>
          <w:b/>
          <w:color w:val="auto"/>
          <w:szCs w:val="21"/>
          <w:highlight w:val="none"/>
        </w:rPr>
        <w:t>一</w:t>
      </w:r>
      <w:r>
        <w:rPr>
          <w:rFonts w:hint="eastAsia" w:ascii="宋体" w:hAnsi="宋体"/>
          <w:b/>
          <w:color w:val="auto"/>
          <w:szCs w:val="21"/>
          <w:highlight w:val="none"/>
        </w:rPr>
        <w:t>、严格遵守国家相关法律、法规，遵守本港区安全生产规章制度，服从港方人员指挥、管理。</w:t>
      </w:r>
    </w:p>
    <w:p w14:paraId="5A97403C">
      <w:pPr>
        <w:spacing w:line="440" w:lineRule="exact"/>
        <w:ind w:firstLine="422"/>
        <w:rPr>
          <w:rFonts w:ascii="宋体" w:hAnsi="宋体"/>
          <w:b/>
          <w:color w:val="auto"/>
          <w:szCs w:val="21"/>
          <w:highlight w:val="none"/>
        </w:rPr>
      </w:pPr>
      <w:r>
        <w:rPr>
          <w:rFonts w:ascii="宋体" w:hAnsi="宋体"/>
          <w:b/>
          <w:color w:val="auto"/>
          <w:szCs w:val="21"/>
          <w:highlight w:val="none"/>
        </w:rPr>
        <w:t>二</w:t>
      </w:r>
      <w:r>
        <w:rPr>
          <w:rFonts w:hint="eastAsia" w:ascii="宋体" w:hAnsi="宋体"/>
          <w:b/>
          <w:color w:val="auto"/>
          <w:szCs w:val="21"/>
          <w:highlight w:val="none"/>
        </w:rPr>
        <w:t>、外来车辆、人员管理规定</w:t>
      </w:r>
    </w:p>
    <w:p w14:paraId="0DBDFA6C">
      <w:pPr>
        <w:spacing w:line="440" w:lineRule="exact"/>
        <w:ind w:firstLine="420"/>
        <w:rPr>
          <w:rFonts w:ascii="宋体" w:hAnsi="宋体"/>
          <w:color w:val="auto"/>
          <w:szCs w:val="21"/>
          <w:highlight w:val="none"/>
        </w:rPr>
      </w:pPr>
      <w:r>
        <w:rPr>
          <w:rFonts w:hint="eastAsia" w:ascii="宋体" w:hAnsi="宋体"/>
          <w:color w:val="auto"/>
          <w:szCs w:val="21"/>
          <w:highlight w:val="none"/>
        </w:rPr>
        <w:t>（1）外来人员进入港区时必须向门卫主动出示有效证件或相关进港凭证，接受门卫检查、登记，确认后由港内对接人员引领方可入内。进入港区人员必须自备并正确穿戴安全帽和荧光警示服及其他劳动防护用品，做好个人防护。</w:t>
      </w:r>
    </w:p>
    <w:p w14:paraId="3EF57EDD">
      <w:pPr>
        <w:spacing w:line="440" w:lineRule="exact"/>
        <w:ind w:firstLine="420"/>
        <w:rPr>
          <w:rFonts w:ascii="宋体" w:hAnsi="宋体"/>
          <w:color w:val="auto"/>
          <w:szCs w:val="21"/>
          <w:highlight w:val="none"/>
        </w:rPr>
      </w:pPr>
      <w:r>
        <w:rPr>
          <w:rFonts w:hint="eastAsia" w:ascii="宋体" w:hAnsi="宋体"/>
          <w:color w:val="auto"/>
          <w:szCs w:val="21"/>
          <w:highlight w:val="none"/>
        </w:rPr>
        <w:t>（2）外来人员在进入生产区前了解港区行车路线、安全规程及劳动纪律和其它安全规定并严格遵守。港区内禁止吸烟，不得撑伞。 </w:t>
      </w:r>
    </w:p>
    <w:p w14:paraId="7B6430D5">
      <w:pPr>
        <w:spacing w:line="440" w:lineRule="exact"/>
        <w:ind w:firstLine="420"/>
        <w:rPr>
          <w:rFonts w:ascii="宋体" w:hAnsi="宋体"/>
          <w:color w:val="auto"/>
          <w:szCs w:val="21"/>
          <w:highlight w:val="none"/>
        </w:rPr>
      </w:pPr>
      <w:r>
        <w:rPr>
          <w:rFonts w:hint="eastAsia" w:ascii="宋体" w:hAnsi="宋体"/>
          <w:color w:val="auto"/>
          <w:szCs w:val="21"/>
          <w:highlight w:val="none"/>
        </w:rPr>
        <w:t>（3）外来机动车辆必须办理来访车辆申请单后方可进入生产区，进入港区要遵守公司相关规定，严禁违停、超速行驶，港区直行限速为</w:t>
      </w:r>
      <w:r>
        <w:rPr>
          <w:rFonts w:ascii="宋体" w:hAnsi="宋体"/>
          <w:color w:val="auto"/>
          <w:szCs w:val="21"/>
          <w:highlight w:val="none"/>
        </w:rPr>
        <w:t>3</w:t>
      </w:r>
      <w:r>
        <w:rPr>
          <w:rFonts w:hint="eastAsia" w:ascii="宋体" w:hAnsi="宋体"/>
          <w:color w:val="auto"/>
          <w:szCs w:val="21"/>
          <w:highlight w:val="none"/>
        </w:rPr>
        <w:t>0公里/小时，转弯限速为</w:t>
      </w:r>
      <w:r>
        <w:rPr>
          <w:rFonts w:ascii="宋体" w:hAnsi="宋体"/>
          <w:color w:val="auto"/>
          <w:szCs w:val="21"/>
          <w:highlight w:val="none"/>
        </w:rPr>
        <w:t>5</w:t>
      </w:r>
      <w:r>
        <w:rPr>
          <w:rFonts w:hint="eastAsia" w:ascii="宋体" w:hAnsi="宋体"/>
          <w:color w:val="auto"/>
          <w:szCs w:val="21"/>
          <w:highlight w:val="none"/>
        </w:rPr>
        <w:t>公里/小时，与本港车辆交汇需让行。外来摩托车、出租车、非机动车不得进入港区。</w:t>
      </w:r>
    </w:p>
    <w:p w14:paraId="4AD31EF1">
      <w:pPr>
        <w:spacing w:line="440" w:lineRule="exact"/>
        <w:ind w:firstLine="420"/>
        <w:rPr>
          <w:rFonts w:ascii="宋体" w:hAnsi="宋体"/>
          <w:color w:val="auto"/>
          <w:szCs w:val="21"/>
          <w:highlight w:val="none"/>
        </w:rPr>
      </w:pPr>
      <w:r>
        <w:rPr>
          <w:rFonts w:hint="eastAsia" w:ascii="宋体" w:hAnsi="宋体"/>
          <w:color w:val="auto"/>
          <w:szCs w:val="21"/>
          <w:highlight w:val="none"/>
        </w:rPr>
        <w:t>（4）外来人员进入港区必须沿港区黄色人行斑马线行走。作业人员要杜绝违章作业，并服从公司安全管理人员的监督检查。</w:t>
      </w:r>
    </w:p>
    <w:p w14:paraId="0E3A395C">
      <w:pPr>
        <w:spacing w:line="440" w:lineRule="exact"/>
        <w:ind w:firstLine="420"/>
        <w:rPr>
          <w:rFonts w:ascii="宋体" w:hAnsi="宋体"/>
          <w:color w:val="auto"/>
          <w:szCs w:val="21"/>
          <w:highlight w:val="none"/>
        </w:rPr>
      </w:pPr>
      <w:r>
        <w:rPr>
          <w:rFonts w:hint="eastAsia" w:ascii="宋体" w:hAnsi="宋体"/>
          <w:color w:val="auto"/>
          <w:szCs w:val="21"/>
          <w:highlight w:val="none"/>
        </w:rPr>
        <w:t>（5）外来车辆、外来人员只准在规定的区域内作业，不能随处乱走，禁止乱动与作业无关的设备、阀门、仪表、电气和开关等。车上人员非必要不下车。</w:t>
      </w:r>
    </w:p>
    <w:p w14:paraId="4EC390A0">
      <w:pPr>
        <w:spacing w:line="440" w:lineRule="exact"/>
        <w:ind w:firstLine="420"/>
        <w:rPr>
          <w:rFonts w:ascii="宋体" w:hAnsi="宋体"/>
          <w:color w:val="auto"/>
          <w:szCs w:val="21"/>
          <w:highlight w:val="none"/>
        </w:rPr>
      </w:pPr>
      <w:r>
        <w:rPr>
          <w:rFonts w:hint="eastAsia" w:ascii="宋体" w:hAnsi="宋体"/>
          <w:color w:val="auto"/>
          <w:szCs w:val="21"/>
          <w:highlight w:val="none"/>
        </w:rPr>
        <w:t>（6）外来人员携带物品、器具等出港必须出具有效的出门单方可出港。</w:t>
      </w:r>
    </w:p>
    <w:p w14:paraId="3321A3B5">
      <w:pPr>
        <w:spacing w:line="440" w:lineRule="exact"/>
        <w:ind w:firstLine="422"/>
        <w:rPr>
          <w:rFonts w:ascii="宋体" w:hAnsi="宋体"/>
          <w:b/>
          <w:color w:val="auto"/>
          <w:szCs w:val="21"/>
          <w:highlight w:val="none"/>
        </w:rPr>
      </w:pPr>
      <w:r>
        <w:rPr>
          <w:rFonts w:ascii="宋体" w:hAnsi="宋体"/>
          <w:b/>
          <w:color w:val="auto"/>
          <w:szCs w:val="21"/>
          <w:highlight w:val="none"/>
        </w:rPr>
        <w:t>三</w:t>
      </w:r>
      <w:r>
        <w:rPr>
          <w:rFonts w:hint="eastAsia" w:ascii="宋体" w:hAnsi="宋体"/>
          <w:b/>
          <w:color w:val="auto"/>
          <w:szCs w:val="21"/>
          <w:highlight w:val="none"/>
        </w:rPr>
        <w:t>、</w:t>
      </w:r>
      <w:r>
        <w:rPr>
          <w:rFonts w:ascii="宋体" w:hAnsi="宋体"/>
          <w:b/>
          <w:color w:val="auto"/>
          <w:szCs w:val="21"/>
          <w:highlight w:val="none"/>
        </w:rPr>
        <w:t>作业单位</w:t>
      </w:r>
      <w:r>
        <w:rPr>
          <w:rFonts w:hint="eastAsia" w:ascii="宋体" w:hAnsi="宋体"/>
          <w:b/>
          <w:color w:val="auto"/>
          <w:szCs w:val="21"/>
          <w:highlight w:val="none"/>
        </w:rPr>
        <w:t>管理规定</w:t>
      </w:r>
    </w:p>
    <w:p w14:paraId="68F872DF">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）相关方作业单位应设立现场安全专管人员具体负责现场安全管理工作。</w:t>
      </w:r>
      <w:r>
        <w:rPr>
          <w:rFonts w:hint="eastAsia" w:ascii="宋体" w:hAnsi="宋体"/>
          <w:bCs/>
          <w:color w:val="auto"/>
          <w:szCs w:val="21"/>
          <w:highlight w:val="none"/>
        </w:rPr>
        <w:t>2米以上高空作业、临水作业或有限空间作业时，应提前向甲方报备，做好现场安全防护措施，严禁私自作业；</w:t>
      </w:r>
      <w:r>
        <w:rPr>
          <w:rFonts w:hint="eastAsia" w:ascii="宋体" w:hAnsi="宋体"/>
          <w:color w:val="auto"/>
          <w:szCs w:val="21"/>
          <w:highlight w:val="none"/>
        </w:rPr>
        <w:t>相关方作业人员严禁进入港区机械设备作业区域8米范围内，严禁人机混合作业。</w:t>
      </w:r>
    </w:p>
    <w:p w14:paraId="23B91230">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）在港区内施工如需动火作业的，必须先向公司相关归口部门申请办理动火许可，按照有关制度执行</w:t>
      </w:r>
      <w:r>
        <w:rPr>
          <w:rFonts w:hint="eastAsia" w:ascii="宋体" w:hAnsi="宋体"/>
          <w:bCs/>
          <w:color w:val="auto"/>
          <w:szCs w:val="21"/>
          <w:highlight w:val="none"/>
        </w:rPr>
        <w:t>，做好安全防护措施，动火作业人员必须持有效证件进行作业，动火作业现场应由专人进行监管。</w:t>
      </w:r>
    </w:p>
    <w:p w14:paraId="606233D9">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）在港区内施工的电气设备工具用电时，必须按乐清湾公司临时用电管理制度执行。 </w:t>
      </w:r>
    </w:p>
    <w:p w14:paraId="1D8F7F97">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相关方作业单位使用的机械设备必须符合国家相关要求，并取得相应的运营资格证书，操作人员必须持证作业。设备、工具如有特殊要求，如是否防爆或存在危险因素，应及时向有关部门说明，需要配合的应同有关部门及时取得联系，经许可后方可进行作业。 </w:t>
      </w:r>
    </w:p>
    <w:p w14:paraId="720401A2">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）在完工后须将作业现场清理干净，恢复完好。</w:t>
      </w:r>
    </w:p>
    <w:p w14:paraId="17136634">
      <w:pPr>
        <w:spacing w:line="440" w:lineRule="exact"/>
        <w:ind w:firstLine="422"/>
        <w:rPr>
          <w:rFonts w:ascii="宋体" w:hAnsi="宋体"/>
          <w:b/>
          <w:color w:val="auto"/>
          <w:szCs w:val="21"/>
          <w:highlight w:val="none"/>
        </w:rPr>
      </w:pPr>
      <w:r>
        <w:rPr>
          <w:rFonts w:hint="eastAsia" w:ascii="宋体" w:hAnsi="宋体"/>
          <w:b/>
          <w:color w:val="auto"/>
          <w:szCs w:val="21"/>
          <w:highlight w:val="none"/>
        </w:rPr>
        <w:t>四、违规处理规定</w:t>
      </w:r>
    </w:p>
    <w:p w14:paraId="031FB0C1">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）港内监控摄像全覆盖、道路全程测速，对违反港区规定、不服从现场管理、经指正仍不纠正的车辆及人员，港区将予以警告、扣除履约保证金、劝离等处理。</w:t>
      </w:r>
    </w:p>
    <w:p w14:paraId="282F1115">
      <w:pPr>
        <w:spacing w:line="44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）对于屡教不改、情节严重者将拉入清退管理名单禁止入场或送交有关执法部门处理。</w:t>
      </w:r>
    </w:p>
    <w:p w14:paraId="2E468689">
      <w:pPr>
        <w:spacing w:line="440" w:lineRule="exact"/>
        <w:ind w:firstLine="422"/>
        <w:rPr>
          <w:rFonts w:ascii="宋体" w:hAnsi="宋体"/>
          <w:b/>
          <w:color w:val="auto"/>
          <w:szCs w:val="21"/>
          <w:highlight w:val="none"/>
        </w:rPr>
      </w:pPr>
      <w:r>
        <w:rPr>
          <w:rFonts w:hint="eastAsia" w:ascii="宋体" w:hAnsi="宋体"/>
          <w:b/>
          <w:color w:val="auto"/>
          <w:szCs w:val="21"/>
          <w:highlight w:val="none"/>
        </w:rPr>
        <w:t>五、考核及清退要求</w:t>
      </w:r>
    </w:p>
    <w:p w14:paraId="7C1EC7F4">
      <w:pPr>
        <w:spacing w:line="440" w:lineRule="exact"/>
        <w:ind w:firstLine="420"/>
        <w:rPr>
          <w:rFonts w:ascii="宋体" w:hAnsi="宋体"/>
          <w:color w:val="auto"/>
          <w:szCs w:val="21"/>
          <w:highlight w:val="none"/>
        </w:rPr>
      </w:pPr>
      <w:r>
        <w:rPr>
          <w:rFonts w:hint="eastAsia" w:ascii="宋体" w:hAnsi="宋体"/>
          <w:color w:val="auto"/>
          <w:szCs w:val="21"/>
          <w:highlight w:val="none"/>
        </w:rPr>
        <w:t>1.乙方作业人员及管理人员出现以下情形之一的，应启动清退程序：</w:t>
      </w:r>
    </w:p>
    <w:p w14:paraId="7E2434D7">
      <w:pPr>
        <w:spacing w:line="440" w:lineRule="exact"/>
        <w:ind w:firstLine="420"/>
        <w:rPr>
          <w:rFonts w:ascii="宋体" w:hAnsi="宋体"/>
          <w:color w:val="auto"/>
          <w:szCs w:val="21"/>
          <w:highlight w:val="none"/>
        </w:rPr>
      </w:pPr>
      <w:r>
        <w:rPr>
          <w:rFonts w:hint="eastAsia" w:ascii="宋体" w:hAnsi="宋体"/>
          <w:color w:val="auto"/>
          <w:szCs w:val="21"/>
          <w:highlight w:val="none"/>
        </w:rPr>
        <w:t>（一）作业人员因违章指挥、违规作业或违反劳动纪律等行为，导致发生重伤及以上责任事故的。</w:t>
      </w:r>
    </w:p>
    <w:p w14:paraId="70377559">
      <w:pPr>
        <w:spacing w:line="440" w:lineRule="exact"/>
        <w:ind w:firstLine="420"/>
        <w:rPr>
          <w:rFonts w:ascii="宋体" w:hAnsi="宋体"/>
          <w:color w:val="auto"/>
          <w:szCs w:val="21"/>
          <w:highlight w:val="none"/>
        </w:rPr>
      </w:pPr>
      <w:r>
        <w:rPr>
          <w:rFonts w:hint="eastAsia" w:ascii="宋体" w:hAnsi="宋体"/>
          <w:color w:val="auto"/>
          <w:szCs w:val="21"/>
          <w:highlight w:val="none"/>
        </w:rPr>
        <w:t>（二）违章冒险作业情节严重，存在较大亡人风险，且现场拒不停止作业的。</w:t>
      </w:r>
    </w:p>
    <w:p w14:paraId="0F530688">
      <w:pPr>
        <w:spacing w:line="440" w:lineRule="exact"/>
        <w:ind w:firstLine="420"/>
        <w:rPr>
          <w:rFonts w:ascii="宋体" w:hAnsi="宋体"/>
          <w:color w:val="auto"/>
          <w:szCs w:val="21"/>
          <w:highlight w:val="none"/>
        </w:rPr>
      </w:pPr>
      <w:r>
        <w:rPr>
          <w:rFonts w:hint="eastAsia" w:ascii="宋体" w:hAnsi="宋体"/>
          <w:color w:val="auto"/>
          <w:szCs w:val="21"/>
          <w:highlight w:val="none"/>
        </w:rPr>
        <w:t>（三）作业人员吸毒或携带违禁物品进入作业现场，经现场抽查或举报查实的。</w:t>
      </w:r>
    </w:p>
    <w:p w14:paraId="59FA36A7">
      <w:pPr>
        <w:spacing w:line="440" w:lineRule="exact"/>
        <w:ind w:firstLine="420"/>
        <w:rPr>
          <w:rFonts w:ascii="宋体" w:hAnsi="宋体"/>
          <w:color w:val="auto"/>
          <w:szCs w:val="21"/>
          <w:highlight w:val="none"/>
        </w:rPr>
      </w:pPr>
      <w:r>
        <w:rPr>
          <w:rFonts w:hint="eastAsia" w:ascii="宋体" w:hAnsi="宋体"/>
          <w:color w:val="auto"/>
          <w:szCs w:val="21"/>
          <w:highlight w:val="none"/>
        </w:rPr>
        <w:t>（四）作业人员持用虚假证件、冒名顶替、伪造履历入职，或隐瞒重大职业健康禁忌，经查实的。</w:t>
      </w:r>
    </w:p>
    <w:p w14:paraId="2AFC9982">
      <w:pPr>
        <w:spacing w:line="440" w:lineRule="exact"/>
        <w:ind w:firstLine="420"/>
        <w:rPr>
          <w:rFonts w:ascii="宋体" w:hAnsi="宋体"/>
          <w:color w:val="auto"/>
          <w:szCs w:val="21"/>
          <w:highlight w:val="none"/>
        </w:rPr>
      </w:pPr>
      <w:r>
        <w:rPr>
          <w:rFonts w:hint="eastAsia" w:ascii="宋体" w:hAnsi="宋体"/>
          <w:color w:val="auto"/>
          <w:szCs w:val="21"/>
          <w:highlight w:val="none"/>
        </w:rPr>
        <w:t>（五）作业人员接连发生习惯性违章行为，屡教不改的。</w:t>
      </w:r>
    </w:p>
    <w:p w14:paraId="5B797488">
      <w:pPr>
        <w:spacing w:line="440" w:lineRule="exact"/>
        <w:ind w:firstLine="420"/>
        <w:rPr>
          <w:rFonts w:ascii="宋体" w:hAnsi="宋体"/>
          <w:color w:val="auto"/>
          <w:szCs w:val="21"/>
          <w:highlight w:val="none"/>
        </w:rPr>
      </w:pPr>
      <w:r>
        <w:rPr>
          <w:rFonts w:hint="eastAsia" w:ascii="宋体" w:hAnsi="宋体"/>
          <w:color w:val="auto"/>
          <w:szCs w:val="21"/>
          <w:highlight w:val="none"/>
        </w:rPr>
        <w:t>（六）作业人员因故意或过失，导致甲方遭受50万元及以上直接经济损失或造成负面舆情影响的。</w:t>
      </w:r>
    </w:p>
    <w:p w14:paraId="51AC0A0D">
      <w:pPr>
        <w:spacing w:line="440" w:lineRule="exact"/>
        <w:ind w:firstLine="420"/>
        <w:rPr>
          <w:rFonts w:ascii="宋体" w:hAnsi="宋体"/>
          <w:color w:val="auto"/>
          <w:szCs w:val="21"/>
          <w:highlight w:val="none"/>
        </w:rPr>
      </w:pPr>
      <w:r>
        <w:rPr>
          <w:rFonts w:hint="eastAsia" w:ascii="宋体" w:hAnsi="宋体"/>
          <w:color w:val="auto"/>
          <w:szCs w:val="21"/>
          <w:highlight w:val="none"/>
        </w:rPr>
        <w:t>（七）专（兼）安全生产管理人员未按规定履行安全生产管理职责，存在未开展现场检查并形成检查记录、未开展安全教育并形成教育记录等履职不到位情形且不配合整改的。</w:t>
      </w:r>
    </w:p>
    <w:p w14:paraId="1E88271C">
      <w:pPr>
        <w:spacing w:line="440" w:lineRule="exact"/>
        <w:ind w:firstLine="420"/>
        <w:rPr>
          <w:rFonts w:ascii="宋体" w:hAnsi="宋体"/>
          <w:color w:val="auto"/>
          <w:szCs w:val="21"/>
          <w:highlight w:val="none"/>
        </w:rPr>
      </w:pPr>
      <w:r>
        <w:rPr>
          <w:rFonts w:hint="eastAsia" w:ascii="宋体" w:hAnsi="宋体"/>
          <w:color w:val="auto"/>
          <w:szCs w:val="21"/>
          <w:highlight w:val="none"/>
        </w:rPr>
        <w:t>（八）管理人员未按甲方合理要求落实整改或拒不整改的。</w:t>
      </w:r>
    </w:p>
    <w:p w14:paraId="1782BDB1">
      <w:pPr>
        <w:spacing w:line="440" w:lineRule="exact"/>
        <w:ind w:firstLine="420"/>
        <w:rPr>
          <w:rFonts w:ascii="宋体" w:hAnsi="宋体"/>
          <w:color w:val="auto"/>
          <w:szCs w:val="21"/>
          <w:highlight w:val="none"/>
        </w:rPr>
      </w:pPr>
      <w:r>
        <w:rPr>
          <w:rFonts w:hint="eastAsia" w:ascii="宋体" w:hAnsi="宋体"/>
          <w:color w:val="auto"/>
          <w:szCs w:val="21"/>
          <w:highlight w:val="none"/>
        </w:rPr>
        <w:t>（九）发生其他法定禁止行为的。</w:t>
      </w:r>
    </w:p>
    <w:p w14:paraId="406F11C3">
      <w:pPr>
        <w:spacing w:line="440" w:lineRule="exact"/>
        <w:ind w:firstLine="420"/>
        <w:rPr>
          <w:rFonts w:ascii="宋体" w:hAnsi="宋体"/>
          <w:color w:val="auto"/>
          <w:szCs w:val="21"/>
          <w:highlight w:val="none"/>
        </w:rPr>
      </w:pPr>
      <w:r>
        <w:rPr>
          <w:rFonts w:hint="eastAsia" w:ascii="宋体" w:hAnsi="宋体"/>
          <w:color w:val="auto"/>
          <w:szCs w:val="21"/>
          <w:highlight w:val="none"/>
        </w:rPr>
        <w:t>2.乙方出现以下情形之一的，应启动清退程序：</w:t>
      </w:r>
    </w:p>
    <w:p w14:paraId="15837F66">
      <w:pPr>
        <w:spacing w:line="440" w:lineRule="exact"/>
        <w:ind w:firstLine="420"/>
        <w:rPr>
          <w:rFonts w:ascii="宋体" w:hAnsi="宋体"/>
          <w:color w:val="auto"/>
          <w:szCs w:val="21"/>
          <w:highlight w:val="none"/>
        </w:rPr>
      </w:pPr>
      <w:r>
        <w:rPr>
          <w:rFonts w:hint="eastAsia" w:ascii="宋体" w:hAnsi="宋体"/>
          <w:color w:val="auto"/>
          <w:szCs w:val="21"/>
          <w:highlight w:val="none"/>
        </w:rPr>
        <w:t>（一）累计造成2名及以上人员重伤责任事故的。</w:t>
      </w:r>
    </w:p>
    <w:p w14:paraId="487306D8">
      <w:pPr>
        <w:spacing w:line="440" w:lineRule="exact"/>
        <w:ind w:firstLine="420"/>
        <w:rPr>
          <w:rFonts w:ascii="宋体" w:hAnsi="宋体"/>
          <w:color w:val="auto"/>
          <w:szCs w:val="21"/>
          <w:highlight w:val="none"/>
        </w:rPr>
      </w:pPr>
      <w:r>
        <w:rPr>
          <w:rFonts w:hint="eastAsia" w:ascii="宋体" w:hAnsi="宋体"/>
          <w:color w:val="auto"/>
          <w:szCs w:val="21"/>
          <w:highlight w:val="none"/>
        </w:rPr>
        <w:t>（二）造成1名及以上人员死亡责任事故的。</w:t>
      </w:r>
    </w:p>
    <w:p w14:paraId="1B3D4815">
      <w:pPr>
        <w:spacing w:line="440" w:lineRule="exact"/>
        <w:ind w:firstLine="420"/>
        <w:rPr>
          <w:rFonts w:ascii="宋体" w:hAnsi="宋体"/>
          <w:color w:val="auto"/>
          <w:szCs w:val="21"/>
          <w:highlight w:val="none"/>
        </w:rPr>
      </w:pPr>
      <w:r>
        <w:rPr>
          <w:rFonts w:hint="eastAsia" w:ascii="宋体" w:hAnsi="宋体"/>
          <w:color w:val="auto"/>
          <w:szCs w:val="21"/>
          <w:highlight w:val="none"/>
        </w:rPr>
        <w:t>（三）累计被查处5名及以上人员经常性严重违章行为的。</w:t>
      </w:r>
    </w:p>
    <w:p w14:paraId="72D3B33C">
      <w:pPr>
        <w:spacing w:line="440" w:lineRule="exact"/>
        <w:ind w:firstLine="420"/>
        <w:rPr>
          <w:rFonts w:ascii="宋体" w:hAnsi="宋体"/>
          <w:color w:val="auto"/>
          <w:szCs w:val="21"/>
          <w:highlight w:val="none"/>
        </w:rPr>
      </w:pPr>
      <w:r>
        <w:rPr>
          <w:rFonts w:hint="eastAsia" w:ascii="宋体" w:hAnsi="宋体"/>
          <w:color w:val="auto"/>
          <w:szCs w:val="21"/>
          <w:highlight w:val="none"/>
        </w:rPr>
        <w:t>（四）造成事故，导致甲方遭受100万元及以上直接经济损失或造成负面舆情影响的。</w:t>
      </w:r>
    </w:p>
    <w:p w14:paraId="13F4C1E4">
      <w:pPr>
        <w:spacing w:line="440" w:lineRule="exact"/>
        <w:ind w:firstLine="420"/>
        <w:rPr>
          <w:rFonts w:ascii="宋体" w:hAnsi="宋体"/>
          <w:color w:val="auto"/>
          <w:szCs w:val="21"/>
          <w:highlight w:val="none"/>
        </w:rPr>
      </w:pPr>
      <w:r>
        <w:rPr>
          <w:rFonts w:hint="eastAsia" w:ascii="宋体" w:hAnsi="宋体"/>
          <w:color w:val="auto"/>
          <w:szCs w:val="21"/>
          <w:highlight w:val="none"/>
        </w:rPr>
        <w:t>（五）年度考核、连续2次季度考核或连续3次月度考核不合格经整改仍无法满足要求的。</w:t>
      </w:r>
    </w:p>
    <w:p w14:paraId="0496879C">
      <w:pPr>
        <w:spacing w:line="440" w:lineRule="exact"/>
        <w:ind w:firstLine="420"/>
        <w:rPr>
          <w:rFonts w:ascii="宋体" w:hAnsi="宋体"/>
          <w:color w:val="auto"/>
          <w:szCs w:val="21"/>
          <w:highlight w:val="none"/>
        </w:rPr>
      </w:pPr>
      <w:r>
        <w:rPr>
          <w:rFonts w:hint="eastAsia" w:ascii="宋体" w:hAnsi="宋体"/>
          <w:color w:val="auto"/>
          <w:szCs w:val="21"/>
          <w:highlight w:val="none"/>
        </w:rPr>
        <w:t>（六）提供虚假资质材料、业绩证明，骗取准入资格或合作机会的；</w:t>
      </w:r>
    </w:p>
    <w:p w14:paraId="52395662">
      <w:pPr>
        <w:spacing w:line="440" w:lineRule="exact"/>
        <w:ind w:firstLine="420"/>
        <w:rPr>
          <w:rFonts w:ascii="宋体" w:hAnsi="宋体"/>
          <w:color w:val="auto"/>
          <w:szCs w:val="21"/>
          <w:highlight w:val="none"/>
        </w:rPr>
      </w:pPr>
      <w:r>
        <w:rPr>
          <w:rFonts w:hint="eastAsia" w:ascii="宋体" w:hAnsi="宋体"/>
          <w:color w:val="auto"/>
          <w:szCs w:val="21"/>
          <w:highlight w:val="none"/>
        </w:rPr>
        <w:t>（七）未按合同要求缴纳相关履约保证金，或保证金被扣减后未在规定时限内补足的。</w:t>
      </w:r>
    </w:p>
    <w:p w14:paraId="4BF357E8">
      <w:pPr>
        <w:spacing w:line="440" w:lineRule="exact"/>
        <w:ind w:firstLine="420"/>
        <w:rPr>
          <w:rFonts w:ascii="宋体" w:hAnsi="宋体"/>
          <w:color w:val="auto"/>
          <w:szCs w:val="21"/>
          <w:highlight w:val="none"/>
        </w:rPr>
      </w:pPr>
      <w:r>
        <w:rPr>
          <w:rFonts w:hint="eastAsia" w:ascii="宋体" w:hAnsi="宋体"/>
          <w:color w:val="auto"/>
          <w:szCs w:val="21"/>
          <w:highlight w:val="none"/>
        </w:rPr>
        <w:t>（八）违反外包合同及安全协议约定，擅自转包、分包外包业务的。</w:t>
      </w:r>
    </w:p>
    <w:p w14:paraId="1C2A22FD">
      <w:pPr>
        <w:spacing w:line="440" w:lineRule="exact"/>
        <w:ind w:firstLine="420"/>
        <w:rPr>
          <w:rFonts w:ascii="宋体" w:hAnsi="宋体"/>
          <w:color w:val="auto"/>
          <w:szCs w:val="21"/>
          <w:highlight w:val="none"/>
        </w:rPr>
      </w:pPr>
      <w:r>
        <w:rPr>
          <w:rFonts w:hint="eastAsia" w:ascii="宋体" w:hAnsi="宋体"/>
          <w:color w:val="auto"/>
          <w:szCs w:val="21"/>
          <w:highlight w:val="none"/>
        </w:rPr>
        <w:t>（九）存在严重违法违规行为（如伪造设备检测报告），被行业主管部门列入失信名单的。</w:t>
      </w:r>
    </w:p>
    <w:p w14:paraId="21133C30">
      <w:pPr>
        <w:spacing w:line="440" w:lineRule="exact"/>
        <w:ind w:firstLine="420"/>
        <w:rPr>
          <w:rFonts w:ascii="宋体" w:hAnsi="宋体"/>
          <w:color w:val="auto"/>
          <w:szCs w:val="21"/>
          <w:highlight w:val="none"/>
        </w:rPr>
      </w:pPr>
      <w:r>
        <w:rPr>
          <w:rFonts w:hint="eastAsia" w:ascii="宋体" w:hAnsi="宋体"/>
          <w:color w:val="auto"/>
          <w:szCs w:val="21"/>
          <w:highlight w:val="none"/>
        </w:rPr>
        <w:t>（十）拒绝接受甲方安全监管的。</w:t>
      </w:r>
    </w:p>
    <w:p w14:paraId="3E5D8668">
      <w:pPr>
        <w:spacing w:line="440" w:lineRule="exact"/>
        <w:ind w:firstLine="420"/>
        <w:rPr>
          <w:rFonts w:ascii="宋体" w:hAnsi="宋体"/>
          <w:color w:val="auto"/>
          <w:szCs w:val="21"/>
          <w:highlight w:val="none"/>
        </w:rPr>
      </w:pPr>
      <w:r>
        <w:rPr>
          <w:rFonts w:hint="eastAsia" w:ascii="宋体" w:hAnsi="宋体"/>
          <w:color w:val="auto"/>
          <w:szCs w:val="21"/>
          <w:highlight w:val="none"/>
        </w:rPr>
        <w:t>（十一）无正当理由，隐患整改不及时或拒不整改的。</w:t>
      </w:r>
    </w:p>
    <w:p w14:paraId="7FA633AD">
      <w:pPr>
        <w:spacing w:line="440" w:lineRule="exact"/>
        <w:ind w:firstLine="420"/>
        <w:rPr>
          <w:rFonts w:ascii="宋体" w:hAnsi="宋体"/>
          <w:color w:val="auto"/>
          <w:szCs w:val="21"/>
          <w:highlight w:val="none"/>
        </w:rPr>
      </w:pPr>
      <w:r>
        <w:rPr>
          <w:rFonts w:hint="eastAsia" w:ascii="宋体" w:hAnsi="宋体"/>
          <w:color w:val="auto"/>
          <w:szCs w:val="21"/>
          <w:highlight w:val="none"/>
        </w:rPr>
        <w:t>（十二）发生其他法定禁止行为的。</w:t>
      </w:r>
    </w:p>
    <w:p w14:paraId="59BC5593">
      <w:pPr>
        <w:spacing w:line="440" w:lineRule="exact"/>
        <w:ind w:firstLine="420"/>
        <w:rPr>
          <w:rFonts w:ascii="宋体" w:hAnsi="宋体"/>
          <w:color w:val="auto"/>
          <w:szCs w:val="21"/>
          <w:highlight w:val="none"/>
        </w:rPr>
      </w:pPr>
      <w:r>
        <w:rPr>
          <w:rFonts w:hint="eastAsia" w:ascii="宋体" w:hAnsi="宋体"/>
          <w:color w:val="auto"/>
          <w:szCs w:val="21"/>
          <w:highlight w:val="none"/>
        </w:rPr>
        <w:t>3.清退程序</w:t>
      </w:r>
    </w:p>
    <w:p w14:paraId="3D5EC104">
      <w:pPr>
        <w:spacing w:line="440" w:lineRule="exact"/>
        <w:ind w:firstLine="420"/>
        <w:rPr>
          <w:rFonts w:ascii="宋体" w:hAnsi="宋体"/>
          <w:color w:val="auto"/>
          <w:szCs w:val="21"/>
          <w:highlight w:val="none"/>
        </w:rPr>
      </w:pPr>
      <w:r>
        <w:rPr>
          <w:rFonts w:hint="eastAsia" w:ascii="宋体" w:hAnsi="宋体"/>
          <w:color w:val="auto"/>
          <w:szCs w:val="21"/>
          <w:highlight w:val="none"/>
        </w:rPr>
        <w:t>（一）调查核实：乙方（含个人，下同）存在清退情形的，甲方需在10个工作日内组织调查，收集相关证据（如事故报告、考核记录、违约赔偿等），形成清退方案。甲方对清退方案进行评估审核，分析研判对生产、维稳等因素的潜在影响，决定是否启动清退。</w:t>
      </w:r>
    </w:p>
    <w:p w14:paraId="72A03225">
      <w:pPr>
        <w:spacing w:line="440" w:lineRule="exact"/>
        <w:ind w:firstLine="420"/>
        <w:rPr>
          <w:rFonts w:ascii="宋体" w:hAnsi="宋体"/>
          <w:color w:val="auto"/>
          <w:szCs w:val="21"/>
          <w:highlight w:val="none"/>
        </w:rPr>
      </w:pPr>
      <w:r>
        <w:rPr>
          <w:rFonts w:hint="eastAsia" w:ascii="宋体" w:hAnsi="宋体"/>
          <w:color w:val="auto"/>
          <w:szCs w:val="21"/>
          <w:highlight w:val="none"/>
        </w:rPr>
        <w:t>（二）清退告知：甲方决定启动清退的，向乙方出具清退告知书，说明清退理由、依据及拟处理意见，乙方可在收到告知书后5个工作日内提出书面陈述或申辩，甲方需在10个工作日内组织回复。</w:t>
      </w:r>
    </w:p>
    <w:p w14:paraId="3E02EFB8">
      <w:pPr>
        <w:spacing w:line="440" w:lineRule="exact"/>
        <w:ind w:firstLine="420"/>
        <w:rPr>
          <w:rFonts w:ascii="宋体" w:hAnsi="宋体"/>
          <w:color w:val="auto"/>
          <w:szCs w:val="21"/>
          <w:highlight w:val="none"/>
        </w:rPr>
      </w:pPr>
      <w:r>
        <w:rPr>
          <w:rFonts w:hint="eastAsia" w:ascii="宋体" w:hAnsi="宋体"/>
          <w:color w:val="auto"/>
          <w:szCs w:val="21"/>
          <w:highlight w:val="none"/>
        </w:rPr>
        <w:t>（三）审核决定：甲方结合调查结果、乙方陈述申辩意见，出具清退决定书。</w:t>
      </w:r>
    </w:p>
    <w:p w14:paraId="04A83294">
      <w:pPr>
        <w:spacing w:line="440" w:lineRule="exact"/>
        <w:ind w:firstLine="420"/>
        <w:rPr>
          <w:rFonts w:ascii="宋体" w:hAnsi="宋体"/>
          <w:color w:val="auto"/>
          <w:szCs w:val="21"/>
          <w:highlight w:val="none"/>
        </w:rPr>
      </w:pPr>
      <w:r>
        <w:rPr>
          <w:rFonts w:hint="eastAsia" w:ascii="宋体" w:hAnsi="宋体"/>
          <w:color w:val="auto"/>
          <w:szCs w:val="21"/>
          <w:highlight w:val="none"/>
        </w:rPr>
        <w:t>（四）落实执行：甲方通知乙方终止外包合同，办理业务交接手续（明确剩余作业、设备、人员的交接方案），及时完成清退工作。</w:t>
      </w:r>
    </w:p>
    <w:p w14:paraId="323CFBE8">
      <w:pPr>
        <w:spacing w:line="440" w:lineRule="exact"/>
        <w:ind w:firstLine="420"/>
        <w:rPr>
          <w:rFonts w:ascii="宋体" w:hAnsi="宋体"/>
          <w:color w:val="auto"/>
          <w:szCs w:val="21"/>
          <w:highlight w:val="none"/>
        </w:rPr>
      </w:pPr>
      <w:r>
        <w:rPr>
          <w:rFonts w:hint="eastAsia" w:ascii="宋体" w:hAnsi="宋体"/>
          <w:color w:val="auto"/>
          <w:szCs w:val="21"/>
          <w:highlight w:val="none"/>
        </w:rPr>
        <w:t>（五）档案更新：清退完成后，甲方将清退决定书报归口管理部门备案。</w:t>
      </w:r>
    </w:p>
    <w:p w14:paraId="0BA7E931">
      <w:pPr>
        <w:spacing w:line="440" w:lineRule="exact"/>
        <w:ind w:firstLine="420"/>
        <w:rPr>
          <w:rFonts w:ascii="宋体" w:hAnsi="宋体"/>
          <w:color w:val="auto"/>
          <w:szCs w:val="21"/>
          <w:highlight w:val="none"/>
        </w:rPr>
      </w:pPr>
      <w:r>
        <w:rPr>
          <w:rFonts w:hint="eastAsia" w:ascii="宋体" w:hAnsi="宋体"/>
          <w:color w:val="auto"/>
          <w:szCs w:val="21"/>
          <w:highlight w:val="none"/>
        </w:rPr>
        <w:t>第二十四条 清退后管理</w:t>
      </w:r>
    </w:p>
    <w:p w14:paraId="71C08C7C">
      <w:pPr>
        <w:spacing w:line="440" w:lineRule="exact"/>
        <w:ind w:firstLine="420"/>
        <w:rPr>
          <w:rFonts w:ascii="宋体" w:hAnsi="宋体"/>
          <w:color w:val="auto"/>
          <w:szCs w:val="21"/>
          <w:highlight w:val="none"/>
        </w:rPr>
      </w:pPr>
      <w:r>
        <w:rPr>
          <w:rFonts w:hint="eastAsia" w:ascii="宋体" w:hAnsi="宋体"/>
          <w:color w:val="auto"/>
          <w:szCs w:val="21"/>
          <w:highlight w:val="none"/>
        </w:rPr>
        <w:t>（一）清退管理要求：</w:t>
      </w:r>
    </w:p>
    <w:p w14:paraId="5710AF2B">
      <w:pPr>
        <w:spacing w:line="440" w:lineRule="exact"/>
        <w:ind w:firstLine="420"/>
        <w:rPr>
          <w:rFonts w:ascii="宋体" w:hAnsi="宋体"/>
          <w:color w:val="auto"/>
          <w:szCs w:val="21"/>
          <w:highlight w:val="none"/>
        </w:rPr>
      </w:pPr>
      <w:r>
        <w:rPr>
          <w:rFonts w:hint="eastAsia" w:ascii="宋体" w:hAnsi="宋体"/>
          <w:color w:val="auto"/>
          <w:szCs w:val="21"/>
          <w:highlight w:val="none"/>
        </w:rPr>
        <w:t>1.个人清退管理要求：被清退的个人，自清退之日起5年内不得参与甲方任何外包工作。</w:t>
      </w:r>
    </w:p>
    <w:p w14:paraId="4540A999">
      <w:pPr>
        <w:spacing w:line="440" w:lineRule="exact"/>
        <w:ind w:firstLine="420"/>
        <w:rPr>
          <w:rFonts w:ascii="宋体" w:hAnsi="宋体"/>
          <w:color w:val="auto"/>
          <w:szCs w:val="21"/>
          <w:highlight w:val="none"/>
        </w:rPr>
      </w:pPr>
      <w:r>
        <w:rPr>
          <w:rFonts w:hint="eastAsia" w:ascii="宋体" w:hAnsi="宋体"/>
          <w:color w:val="auto"/>
          <w:szCs w:val="21"/>
          <w:highlight w:val="none"/>
        </w:rPr>
        <w:t>2.清退管理要求：被清退的乙方及其主要负责人以及实际控制人、安全负责人、安全管理人员，以及对生产安全责任事故负有责任的人员一并纳入甲方清退管理名单，自清退之日起2年内不得参与甲方任何合作。</w:t>
      </w:r>
    </w:p>
    <w:p w14:paraId="6DD43BF9">
      <w:pPr>
        <w:spacing w:line="440" w:lineRule="exact"/>
        <w:ind w:firstLine="422"/>
        <w:rPr>
          <w:rFonts w:ascii="宋体" w:hAnsi="宋体"/>
          <w:b/>
          <w:color w:val="auto"/>
          <w:szCs w:val="21"/>
          <w:highlight w:val="none"/>
        </w:rPr>
      </w:pPr>
      <w:r>
        <w:rPr>
          <w:rFonts w:hint="eastAsia" w:ascii="宋体" w:hAnsi="宋体"/>
          <w:b/>
          <w:color w:val="auto"/>
          <w:szCs w:val="21"/>
          <w:highlight w:val="none"/>
        </w:rPr>
        <w:t>六、港区联系电话</w:t>
      </w:r>
    </w:p>
    <w:p w14:paraId="10A8D0A6">
      <w:pPr>
        <w:spacing w:line="440" w:lineRule="exact"/>
        <w:ind w:firstLine="420"/>
        <w:rPr>
          <w:rFonts w:ascii="宋体" w:hAnsi="宋体"/>
          <w:color w:val="auto"/>
          <w:szCs w:val="21"/>
          <w:highlight w:val="none"/>
        </w:rPr>
      </w:pPr>
      <w:r>
        <w:rPr>
          <w:rFonts w:hint="eastAsia" w:ascii="宋体" w:hAnsi="宋体"/>
          <w:color w:val="auto"/>
          <w:szCs w:val="21"/>
          <w:highlight w:val="none"/>
        </w:rPr>
        <w:t>如遇意外事件或需港区配合协调解决的事情，请立即联系温州港南岳港务有限公司港区中控调度室（  、  ）。</w:t>
      </w:r>
    </w:p>
    <w:p w14:paraId="11682D07">
      <w:pPr>
        <w:spacing w:line="440" w:lineRule="exact"/>
        <w:ind w:firstLine="422"/>
        <w:rPr>
          <w:rFonts w:ascii="宋体" w:hAnsi="宋体"/>
          <w:color w:val="auto"/>
          <w:szCs w:val="21"/>
          <w:highlight w:val="none"/>
        </w:rPr>
      </w:pPr>
      <w:r>
        <w:rPr>
          <w:rFonts w:hint="eastAsia" w:ascii="宋体" w:hAnsi="宋体"/>
          <w:b/>
          <w:color w:val="auto"/>
          <w:szCs w:val="21"/>
          <w:highlight w:val="none"/>
        </w:rPr>
        <w:t>相关方单位（个人）声明：</w:t>
      </w:r>
      <w:r>
        <w:rPr>
          <w:rFonts w:hint="eastAsia" w:ascii="宋体" w:hAnsi="宋体"/>
          <w:color w:val="auto"/>
          <w:szCs w:val="21"/>
          <w:highlight w:val="none"/>
        </w:rPr>
        <w:t>我公司对以上条款内容已完成了解和认同，如有违反而造成港区损失或带来不良影响的，我司愿意承担全部责任，现予以签字确认。</w:t>
      </w:r>
    </w:p>
    <w:p w14:paraId="1C460AE0">
      <w:pPr>
        <w:spacing w:line="440" w:lineRule="exact"/>
        <w:ind w:firstLine="420"/>
        <w:rPr>
          <w:rFonts w:ascii="宋体" w:hAnsi="宋体"/>
          <w:color w:val="auto"/>
          <w:szCs w:val="21"/>
          <w:highlight w:val="none"/>
        </w:rPr>
      </w:pPr>
    </w:p>
    <w:p w14:paraId="7AB96315">
      <w:pPr>
        <w:spacing w:line="360" w:lineRule="exact"/>
        <w:ind w:firstLine="420"/>
        <w:rPr>
          <w:rFonts w:ascii="宋体" w:hAnsi="宋体"/>
          <w:color w:val="auto"/>
          <w:szCs w:val="21"/>
          <w:highlight w:val="none"/>
        </w:rPr>
      </w:pPr>
    </w:p>
    <w:p w14:paraId="5F68F6FE">
      <w:pPr>
        <w:spacing w:line="360" w:lineRule="exact"/>
        <w:ind w:right="560" w:firstLine="420"/>
        <w:jc w:val="center"/>
        <w:rPr>
          <w:rFonts w:ascii="宋体" w:hAnsi="宋体"/>
          <w:color w:val="auto"/>
          <w:szCs w:val="21"/>
          <w:highlight w:val="none"/>
        </w:rPr>
      </w:pPr>
      <w:r>
        <w:rPr>
          <w:rFonts w:hint="eastAsia" w:ascii="宋体" w:hAnsi="宋体"/>
          <w:color w:val="auto"/>
          <w:szCs w:val="21"/>
          <w:highlight w:val="none"/>
        </w:rPr>
        <w:t xml:space="preserve">                        声明人（签字盖章）： </w:t>
      </w:r>
    </w:p>
    <w:p w14:paraId="2BAECB85">
      <w:pPr>
        <w:spacing w:line="360" w:lineRule="exact"/>
        <w:ind w:right="560" w:firstLine="420"/>
        <w:jc w:val="center"/>
        <w:rPr>
          <w:rFonts w:ascii="宋体" w:hAnsi="宋体"/>
          <w:color w:val="auto"/>
          <w:szCs w:val="21"/>
          <w:highlight w:val="none"/>
        </w:rPr>
      </w:pPr>
    </w:p>
    <w:p w14:paraId="35A8AC24">
      <w:pPr>
        <w:spacing w:line="360" w:lineRule="exact"/>
        <w:ind w:right="560" w:firstLine="420"/>
        <w:jc w:val="center"/>
        <w:rPr>
          <w:rFonts w:ascii="宋体" w:hAnsi="宋体"/>
          <w:color w:val="auto"/>
          <w:szCs w:val="21"/>
          <w:highlight w:val="none"/>
        </w:rPr>
      </w:pPr>
    </w:p>
    <w:p w14:paraId="44BA466E">
      <w:pPr>
        <w:spacing w:line="360" w:lineRule="exact"/>
        <w:ind w:firstLine="0" w:firstLineChars="0"/>
        <w:jc w:val="left"/>
        <w:rPr>
          <w:rFonts w:ascii="宋体" w:hAnsi="宋体" w:cs="宋体"/>
          <w:color w:val="auto"/>
          <w:highlight w:val="none"/>
        </w:rPr>
      </w:pPr>
      <w:r>
        <w:rPr>
          <w:rFonts w:hint="eastAsia" w:ascii="宋体" w:hAnsi="宋体"/>
          <w:color w:val="auto"/>
          <w:szCs w:val="21"/>
          <w:highlight w:val="none"/>
        </w:rPr>
        <w:t xml:space="preserve">                                            年   月   日</w:t>
      </w:r>
    </w:p>
    <w:p w14:paraId="52394F5B">
      <w:pPr>
        <w:spacing w:line="440" w:lineRule="exact"/>
        <w:ind w:firstLine="420"/>
        <w:jc w:val="right"/>
        <w:rPr>
          <w:rFonts w:ascii="宋体" w:hAnsi="宋体" w:cs="宋体"/>
          <w:color w:val="auto"/>
          <w:highlight w:val="none"/>
        </w:rPr>
      </w:pPr>
    </w:p>
    <w:p w14:paraId="4CF458F6">
      <w:pPr>
        <w:pStyle w:val="2"/>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 xml:space="preserve">第六章 </w:t>
      </w:r>
      <w:bookmarkEnd w:id="38"/>
      <w:bookmarkEnd w:id="39"/>
      <w:r>
        <w:rPr>
          <w:rFonts w:hint="eastAsia" w:ascii="宋体" w:hAnsi="宋体" w:cs="宋体"/>
          <w:color w:val="auto"/>
          <w:highlight w:val="none"/>
        </w:rPr>
        <w:t xml:space="preserve"> </w:t>
      </w:r>
      <w:bookmarkStart w:id="40" w:name="_Toc7828"/>
      <w:r>
        <w:rPr>
          <w:rFonts w:hint="eastAsia" w:ascii="宋体" w:hAnsi="宋体" w:cs="宋体"/>
          <w:color w:val="auto"/>
          <w:highlight w:val="none"/>
        </w:rPr>
        <w:t>投标文件格式</w:t>
      </w:r>
      <w:bookmarkEnd w:id="40"/>
    </w:p>
    <w:p w14:paraId="22E0F242">
      <w:pPr>
        <w:ind w:firstLine="420"/>
        <w:rPr>
          <w:rFonts w:ascii="宋体" w:hAnsi="宋体" w:cs="宋体"/>
          <w:color w:val="auto"/>
          <w:highlight w:val="none"/>
        </w:rPr>
      </w:pPr>
      <w:r>
        <w:rPr>
          <w:rFonts w:hint="eastAsia" w:ascii="宋体" w:hAnsi="宋体" w:cs="宋体"/>
          <w:color w:val="auto"/>
          <w:highlight w:val="none"/>
        </w:rPr>
        <w:t>1. 投标文件目录：未提供格式部分由投标人自拟</w:t>
      </w:r>
    </w:p>
    <w:p w14:paraId="7D7ACBE8">
      <w:pPr>
        <w:ind w:firstLine="420"/>
        <w:rPr>
          <w:rFonts w:ascii="宋体" w:hAnsi="宋体" w:cs="宋体"/>
          <w:color w:val="auto"/>
          <w:highlight w:val="none"/>
        </w:rPr>
      </w:pPr>
      <w:r>
        <w:rPr>
          <w:rFonts w:hint="eastAsia" w:ascii="宋体" w:hAnsi="宋体" w:cs="宋体"/>
          <w:color w:val="auto"/>
          <w:highlight w:val="none"/>
        </w:rPr>
        <w:t>（一）投标文件目录：未提供格式部分由投标人自拟</w:t>
      </w:r>
    </w:p>
    <w:p w14:paraId="3C3D84B1">
      <w:pPr>
        <w:ind w:firstLine="420"/>
        <w:rPr>
          <w:rFonts w:ascii="宋体" w:hAnsi="宋体" w:cs="宋体"/>
          <w:color w:val="auto"/>
          <w:highlight w:val="none"/>
          <w:lang w:val="zh-CN"/>
        </w:rPr>
      </w:pPr>
      <w:r>
        <w:rPr>
          <w:rFonts w:hint="eastAsia" w:ascii="宋体" w:hAnsi="宋体" w:cs="宋体"/>
          <w:color w:val="auto"/>
          <w:highlight w:val="none"/>
          <w:lang w:val="zh-CN"/>
        </w:rPr>
        <w:t>投标文件分为价格标、商务技术标、资审文件三部分，投标人应分别编制、上传各部分内容。</w:t>
      </w:r>
    </w:p>
    <w:p w14:paraId="3EB95F0E">
      <w:pPr>
        <w:ind w:firstLine="420"/>
        <w:rPr>
          <w:rFonts w:ascii="宋体" w:hAnsi="宋体" w:cs="宋体"/>
          <w:color w:val="auto"/>
          <w:highlight w:val="none"/>
          <w:lang w:val="zh-CN"/>
        </w:rPr>
      </w:pPr>
      <w:r>
        <w:rPr>
          <w:rFonts w:hint="eastAsia" w:ascii="宋体" w:hAnsi="宋体" w:cs="宋体"/>
          <w:color w:val="auto"/>
          <w:highlight w:val="none"/>
          <w:lang w:val="zh-CN"/>
        </w:rPr>
        <w:t>第一部分：资审文件</w:t>
      </w:r>
      <w:r>
        <w:rPr>
          <w:rFonts w:hint="eastAsia" w:ascii="宋体" w:hAnsi="宋体" w:cs="宋体"/>
          <w:b/>
          <w:bCs/>
          <w:color w:val="auto"/>
          <w:highlight w:val="none"/>
          <w:lang w:val="zh-CN"/>
        </w:rPr>
        <w:t>（★不得出现本项目的“价格标”内容及投标报价，否则作无效标处理）</w:t>
      </w:r>
    </w:p>
    <w:p w14:paraId="474D579F">
      <w:pPr>
        <w:ind w:firstLine="420"/>
        <w:rPr>
          <w:rFonts w:ascii="宋体" w:hAnsi="宋体" w:cs="宋体"/>
          <w:color w:val="auto"/>
          <w:highlight w:val="none"/>
          <w:lang w:val="zh-CN"/>
        </w:rPr>
      </w:pPr>
      <w:r>
        <w:rPr>
          <w:rFonts w:hint="eastAsia" w:ascii="宋体" w:hAnsi="宋体" w:cs="宋体"/>
          <w:color w:val="auto"/>
          <w:highlight w:val="none"/>
          <w:lang w:val="zh-CN"/>
        </w:rPr>
        <w:t>（1）法定代表人资格证明书或法定代表人授权委托书（格式见附件）；</w:t>
      </w:r>
    </w:p>
    <w:p w14:paraId="049DC478">
      <w:pPr>
        <w:ind w:firstLine="420"/>
        <w:rPr>
          <w:rFonts w:ascii="宋体" w:hAnsi="宋体" w:cs="宋体"/>
          <w:color w:val="auto"/>
          <w:highlight w:val="none"/>
          <w:lang w:val="zh-CN"/>
        </w:rPr>
      </w:pPr>
      <w:r>
        <w:rPr>
          <w:rFonts w:hint="eastAsia" w:ascii="宋体" w:hAnsi="宋体" w:cs="宋体"/>
          <w:color w:val="auto"/>
          <w:highlight w:val="none"/>
          <w:lang w:val="zh-CN"/>
        </w:rPr>
        <w:t>（2）投标人资格声明函（格式见附件）；</w:t>
      </w:r>
    </w:p>
    <w:p w14:paraId="26BAEEE1">
      <w:pPr>
        <w:ind w:firstLine="420"/>
        <w:rPr>
          <w:rFonts w:ascii="宋体" w:hAnsi="宋体" w:cs="宋体"/>
          <w:color w:val="auto"/>
          <w:highlight w:val="none"/>
          <w:lang w:val="zh-CN"/>
        </w:rPr>
      </w:pPr>
      <w:r>
        <w:rPr>
          <w:rFonts w:hint="eastAsia" w:ascii="宋体" w:hAnsi="宋体" w:cs="宋体"/>
          <w:color w:val="auto"/>
          <w:highlight w:val="none"/>
          <w:lang w:val="zh-CN"/>
        </w:rPr>
        <w:t>（3）</w:t>
      </w:r>
      <w:r>
        <w:rPr>
          <w:rFonts w:hint="eastAsia" w:ascii="宋体" w:hAnsi="宋体" w:cs="宋体"/>
          <w:color w:val="auto"/>
          <w:highlight w:val="none"/>
        </w:rPr>
        <w:t>营业执照</w:t>
      </w:r>
      <w:r>
        <w:rPr>
          <w:rFonts w:hint="eastAsia" w:ascii="宋体" w:hAnsi="宋体" w:cs="宋体"/>
          <w:color w:val="auto"/>
          <w:highlight w:val="none"/>
          <w:lang w:val="zh-CN"/>
        </w:rPr>
        <w:t>；</w:t>
      </w:r>
    </w:p>
    <w:p w14:paraId="384DA712">
      <w:pPr>
        <w:ind w:firstLine="420"/>
        <w:rPr>
          <w:rFonts w:ascii="宋体" w:hAnsi="宋体" w:cs="宋体"/>
          <w:color w:val="auto"/>
          <w:highlight w:val="none"/>
          <w:lang w:val="zh-CN"/>
        </w:rPr>
      </w:pPr>
      <w:r>
        <w:rPr>
          <w:rFonts w:hint="eastAsia" w:ascii="宋体" w:hAnsi="宋体" w:cs="宋体"/>
          <w:color w:val="auto"/>
          <w:highlight w:val="none"/>
          <w:lang w:val="zh-CN"/>
        </w:rPr>
        <w:t>（4）投标人基本情况表（格式见附件）；</w:t>
      </w:r>
    </w:p>
    <w:p w14:paraId="0F08C619">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w:t>
      </w:r>
      <w:r>
        <w:rPr>
          <w:rFonts w:hint="eastAsia" w:ascii="宋体" w:hAnsi="宋体" w:cs="宋体"/>
          <w:color w:val="auto"/>
          <w:highlight w:val="none"/>
        </w:rPr>
        <w:t>投标人信用查询</w:t>
      </w:r>
      <w:r>
        <w:rPr>
          <w:rFonts w:hint="eastAsia" w:ascii="宋体" w:hAnsi="宋体" w:cs="宋体"/>
          <w:color w:val="auto"/>
          <w:highlight w:val="none"/>
          <w:lang w:val="zh-CN"/>
        </w:rPr>
        <w:t>（格式自拟）；</w:t>
      </w:r>
    </w:p>
    <w:p w14:paraId="585F6AD5">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6</w:t>
      </w:r>
      <w:r>
        <w:rPr>
          <w:rFonts w:hint="eastAsia" w:ascii="宋体" w:hAnsi="宋体" w:cs="宋体"/>
          <w:color w:val="auto"/>
          <w:highlight w:val="none"/>
          <w:lang w:val="zh-CN"/>
        </w:rPr>
        <w:t>）制造商承诺函（投标人为本项目所采购产品制造商时提供，格式仅供参考）；</w:t>
      </w:r>
    </w:p>
    <w:p w14:paraId="2878474B">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7</w:t>
      </w:r>
      <w:r>
        <w:rPr>
          <w:rFonts w:hint="eastAsia" w:ascii="宋体" w:hAnsi="宋体" w:cs="宋体"/>
          <w:color w:val="auto"/>
          <w:highlight w:val="none"/>
          <w:lang w:val="zh-CN"/>
        </w:rPr>
        <w:t>）制造商出具的代理授权书（投标人为本项目所采购产品代理商时提供，格式自拟）；</w:t>
      </w:r>
    </w:p>
    <w:p w14:paraId="62D92554">
      <w:pPr>
        <w:ind w:firstLine="420"/>
        <w:rPr>
          <w:rFonts w:hint="eastAsia"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8</w:t>
      </w:r>
      <w:r>
        <w:rPr>
          <w:rFonts w:hint="eastAsia" w:ascii="宋体" w:hAnsi="宋体" w:cs="宋体"/>
          <w:color w:val="auto"/>
          <w:highlight w:val="none"/>
          <w:lang w:val="zh-CN"/>
        </w:rPr>
        <w:t>）</w:t>
      </w:r>
      <w:r>
        <w:rPr>
          <w:rFonts w:hint="eastAsia" w:ascii="宋体" w:hAnsi="宋体" w:cs="宋体"/>
          <w:color w:val="auto"/>
          <w:highlight w:val="none"/>
        </w:rPr>
        <w:t>业绩</w:t>
      </w:r>
      <w:r>
        <w:rPr>
          <w:rFonts w:hint="eastAsia" w:ascii="宋体" w:hAnsi="宋体" w:cs="宋体"/>
          <w:color w:val="auto"/>
          <w:highlight w:val="none"/>
          <w:lang w:val="zh-CN"/>
        </w:rPr>
        <w:t>（格式自拟）；</w:t>
      </w:r>
    </w:p>
    <w:p w14:paraId="177D7AB7">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9</w:t>
      </w:r>
      <w:r>
        <w:rPr>
          <w:rFonts w:hint="eastAsia" w:ascii="宋体" w:hAnsi="宋体" w:cs="宋体"/>
          <w:color w:val="auto"/>
          <w:highlight w:val="none"/>
          <w:lang w:val="zh-CN"/>
        </w:rPr>
        <w:t>）招标文件要求的或投标人认为有必要提供的其他情况说明或资质证书。</w:t>
      </w:r>
    </w:p>
    <w:p w14:paraId="3343BF90">
      <w:pPr>
        <w:ind w:firstLine="420"/>
        <w:rPr>
          <w:rFonts w:ascii="宋体" w:hAnsi="宋体" w:cs="宋体"/>
          <w:color w:val="auto"/>
          <w:highlight w:val="none"/>
          <w:lang w:val="zh-CN"/>
        </w:rPr>
      </w:pPr>
      <w:r>
        <w:rPr>
          <w:rFonts w:hint="eastAsia" w:ascii="宋体" w:hAnsi="宋体" w:cs="宋体"/>
          <w:color w:val="auto"/>
          <w:highlight w:val="none"/>
          <w:lang w:val="zh-CN"/>
        </w:rPr>
        <w:t>第二部分：商务技术</w:t>
      </w:r>
      <w:r>
        <w:rPr>
          <w:rFonts w:hint="eastAsia" w:ascii="宋体" w:hAnsi="宋体" w:cs="宋体"/>
          <w:color w:val="auto"/>
          <w:highlight w:val="none"/>
        </w:rPr>
        <w:t>标</w:t>
      </w:r>
      <w:r>
        <w:rPr>
          <w:rFonts w:hint="eastAsia" w:ascii="宋体" w:hAnsi="宋体" w:cs="宋体"/>
          <w:b/>
          <w:bCs/>
          <w:color w:val="auto"/>
          <w:highlight w:val="none"/>
          <w:lang w:val="zh-CN"/>
        </w:rPr>
        <w:t>（★不得出现本项目的“价格标”内容及投标报价，否则作无效标处理）</w:t>
      </w:r>
    </w:p>
    <w:p w14:paraId="6E2A055C">
      <w:pPr>
        <w:ind w:firstLine="420"/>
        <w:rPr>
          <w:rFonts w:ascii="宋体" w:hAnsi="宋体" w:cs="宋体"/>
          <w:color w:val="auto"/>
          <w:highlight w:val="none"/>
          <w:lang w:val="zh-CN"/>
        </w:rPr>
      </w:pPr>
      <w:r>
        <w:rPr>
          <w:rFonts w:hint="eastAsia" w:ascii="宋体" w:hAnsi="宋体" w:cs="宋体"/>
          <w:color w:val="auto"/>
          <w:highlight w:val="none"/>
          <w:lang w:val="zh-CN"/>
        </w:rPr>
        <w:t>（1）商务响应表（格式见附件）；</w:t>
      </w:r>
    </w:p>
    <w:p w14:paraId="479DC8E2">
      <w:pPr>
        <w:ind w:firstLine="420"/>
        <w:rPr>
          <w:rFonts w:ascii="宋体" w:hAnsi="宋体" w:cs="宋体"/>
          <w:color w:val="auto"/>
          <w:highlight w:val="none"/>
          <w:lang w:val="zh-CN"/>
        </w:rPr>
      </w:pPr>
      <w:r>
        <w:rPr>
          <w:rFonts w:hint="eastAsia" w:ascii="宋体" w:hAnsi="宋体" w:cs="宋体"/>
          <w:color w:val="auto"/>
          <w:highlight w:val="none"/>
          <w:lang w:val="zh-CN"/>
        </w:rPr>
        <w:t xml:space="preserve">（2）技术响应表（对技术需求中提出的产品技术参数进行响应，格式见附件）； </w:t>
      </w:r>
    </w:p>
    <w:p w14:paraId="27013853">
      <w:pPr>
        <w:ind w:firstLine="420"/>
        <w:rPr>
          <w:rFonts w:ascii="宋体" w:hAnsi="宋体" w:cs="宋体"/>
          <w:color w:val="auto"/>
          <w:highlight w:val="none"/>
          <w:lang w:val="zh-CN"/>
        </w:rPr>
      </w:pPr>
      <w:r>
        <w:rPr>
          <w:rFonts w:hint="eastAsia" w:ascii="宋体" w:hAnsi="宋体" w:cs="宋体"/>
          <w:color w:val="auto"/>
          <w:highlight w:val="none"/>
          <w:lang w:val="zh-CN"/>
        </w:rPr>
        <w:t>（3）业绩；</w:t>
      </w:r>
    </w:p>
    <w:p w14:paraId="56C49D4D">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4</w:t>
      </w:r>
      <w:r>
        <w:rPr>
          <w:rFonts w:hint="eastAsia" w:ascii="宋体" w:hAnsi="宋体" w:cs="宋体"/>
          <w:color w:val="auto"/>
          <w:highlight w:val="none"/>
          <w:lang w:val="zh-CN"/>
        </w:rPr>
        <w:t>）质保</w:t>
      </w:r>
      <w:r>
        <w:rPr>
          <w:rFonts w:hint="eastAsia" w:ascii="宋体" w:hAnsi="宋体" w:cs="宋体"/>
          <w:color w:val="auto"/>
          <w:highlight w:val="none"/>
        </w:rPr>
        <w:t>期</w:t>
      </w:r>
      <w:r>
        <w:rPr>
          <w:rFonts w:hint="eastAsia" w:ascii="宋体" w:hAnsi="宋体" w:cs="宋体"/>
          <w:color w:val="auto"/>
          <w:highlight w:val="none"/>
          <w:lang w:val="zh-CN"/>
        </w:rPr>
        <w:t>承诺函；</w:t>
      </w:r>
    </w:p>
    <w:p w14:paraId="4836BA3E">
      <w:pPr>
        <w:ind w:firstLine="420"/>
        <w:rPr>
          <w:rFonts w:hint="eastAsia"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w:t>
      </w:r>
      <w:r>
        <w:rPr>
          <w:rFonts w:hint="eastAsia" w:ascii="宋体" w:hAnsi="宋体" w:cs="宋体"/>
          <w:color w:val="auto"/>
          <w:highlight w:val="none"/>
          <w:lang w:val="en-US" w:eastAsia="zh-CN"/>
        </w:rPr>
        <w:t>设备性能参数</w:t>
      </w:r>
      <w:r>
        <w:rPr>
          <w:rFonts w:hint="eastAsia" w:ascii="宋体" w:hAnsi="宋体" w:cs="宋体"/>
          <w:color w:val="auto"/>
          <w:highlight w:val="none"/>
          <w:lang w:val="zh-CN"/>
        </w:rPr>
        <w:t>（格式自拟）；</w:t>
      </w:r>
    </w:p>
    <w:p w14:paraId="12B99B06">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6</w:t>
      </w:r>
      <w:r>
        <w:rPr>
          <w:rFonts w:hint="eastAsia" w:ascii="宋体" w:hAnsi="宋体" w:cs="宋体"/>
          <w:color w:val="auto"/>
          <w:highlight w:val="none"/>
          <w:lang w:val="zh-CN"/>
        </w:rPr>
        <w:t>）</w:t>
      </w:r>
      <w:r>
        <w:rPr>
          <w:rFonts w:hint="eastAsia" w:ascii="宋体" w:hAnsi="宋体" w:cs="宋体"/>
          <w:color w:val="auto"/>
          <w:highlight w:val="none"/>
          <w:lang w:val="en-US" w:eastAsia="zh-CN"/>
        </w:rPr>
        <w:t>结构及制造工艺</w:t>
      </w:r>
      <w:r>
        <w:rPr>
          <w:rFonts w:hint="eastAsia" w:ascii="宋体" w:hAnsi="宋体" w:cs="宋体"/>
          <w:color w:val="auto"/>
          <w:highlight w:val="none"/>
          <w:lang w:val="zh-CN"/>
        </w:rPr>
        <w:t>（格式自拟）；</w:t>
      </w:r>
    </w:p>
    <w:p w14:paraId="6707E188">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7</w:t>
      </w:r>
      <w:r>
        <w:rPr>
          <w:rFonts w:hint="eastAsia" w:ascii="宋体" w:hAnsi="宋体" w:cs="宋体"/>
          <w:color w:val="auto"/>
          <w:highlight w:val="none"/>
          <w:lang w:val="zh-CN"/>
        </w:rPr>
        <w:t>）设备安装、调试、验收的方案和措施（格式自拟）；</w:t>
      </w:r>
    </w:p>
    <w:p w14:paraId="1B3AB926">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8</w:t>
      </w:r>
      <w:r>
        <w:rPr>
          <w:rFonts w:hint="eastAsia" w:ascii="宋体" w:hAnsi="宋体" w:cs="宋体"/>
          <w:color w:val="auto"/>
          <w:highlight w:val="none"/>
          <w:lang w:val="zh-CN"/>
        </w:rPr>
        <w:t>）</w:t>
      </w:r>
      <w:r>
        <w:rPr>
          <w:rFonts w:hint="eastAsia" w:ascii="宋体" w:hAnsi="宋体" w:cs="宋体"/>
          <w:color w:val="auto"/>
          <w:highlight w:val="none"/>
        </w:rPr>
        <w:t>售后服务</w:t>
      </w:r>
      <w:r>
        <w:rPr>
          <w:rFonts w:hint="eastAsia" w:ascii="宋体" w:hAnsi="宋体" w:cs="宋体"/>
          <w:color w:val="auto"/>
          <w:highlight w:val="none"/>
          <w:lang w:val="zh-CN"/>
        </w:rPr>
        <w:t>（格式自拟）；</w:t>
      </w:r>
    </w:p>
    <w:p w14:paraId="15A875E2">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9</w:t>
      </w:r>
      <w:r>
        <w:rPr>
          <w:rFonts w:hint="eastAsia" w:ascii="宋体" w:hAnsi="宋体" w:cs="宋体"/>
          <w:color w:val="auto"/>
          <w:highlight w:val="none"/>
          <w:lang w:val="zh-CN"/>
        </w:rPr>
        <w:t>）</w:t>
      </w:r>
      <w:r>
        <w:rPr>
          <w:rFonts w:hint="eastAsia"/>
          <w:color w:val="auto"/>
          <w:highlight w:val="none"/>
        </w:rPr>
        <w:t>招标文件第二章招标需求中</w:t>
      </w:r>
      <w:r>
        <w:rPr>
          <w:rFonts w:hint="eastAsia" w:ascii="宋体" w:hAnsi="宋体" w:cs="宋体"/>
          <w:color w:val="auto"/>
          <w:highlight w:val="none"/>
          <w:lang w:val="en-US" w:eastAsia="zh-CN"/>
        </w:rPr>
        <w:t>需要提供的其他资料</w:t>
      </w:r>
      <w:r>
        <w:rPr>
          <w:rFonts w:hint="eastAsia" w:ascii="宋体" w:hAnsi="宋体" w:cs="宋体"/>
          <w:color w:val="auto"/>
          <w:highlight w:val="none"/>
          <w:lang w:val="zh-CN"/>
        </w:rPr>
        <w:t>（格式自拟）；</w:t>
      </w:r>
    </w:p>
    <w:p w14:paraId="20BD5EA3">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10</w:t>
      </w:r>
      <w:r>
        <w:rPr>
          <w:rFonts w:hint="eastAsia" w:ascii="宋体" w:hAnsi="宋体" w:cs="宋体"/>
          <w:color w:val="auto"/>
          <w:highlight w:val="none"/>
          <w:lang w:val="zh-CN"/>
        </w:rPr>
        <w:t>）商务技术标评审所涉及的其他资料（若有，格式自拟）；</w:t>
      </w:r>
    </w:p>
    <w:p w14:paraId="259CD929">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11</w:t>
      </w:r>
      <w:r>
        <w:rPr>
          <w:rFonts w:hint="eastAsia" w:ascii="宋体" w:hAnsi="宋体" w:cs="宋体"/>
          <w:color w:val="auto"/>
          <w:highlight w:val="none"/>
          <w:lang w:val="zh-CN"/>
        </w:rPr>
        <w:t>）投标人需要特别说明的其他文件（若有，格式自拟）。</w:t>
      </w:r>
    </w:p>
    <w:p w14:paraId="71074387">
      <w:pPr>
        <w:ind w:firstLine="420"/>
        <w:rPr>
          <w:rFonts w:ascii="宋体" w:hAnsi="宋体" w:cs="宋体"/>
          <w:color w:val="auto"/>
          <w:highlight w:val="none"/>
          <w:lang w:val="zh-CN"/>
        </w:rPr>
      </w:pPr>
      <w:r>
        <w:rPr>
          <w:rFonts w:hint="eastAsia" w:ascii="宋体" w:hAnsi="宋体" w:cs="宋体"/>
          <w:color w:val="auto"/>
          <w:highlight w:val="none"/>
          <w:lang w:val="zh-CN"/>
        </w:rPr>
        <w:t>第三部分：价格标</w:t>
      </w:r>
    </w:p>
    <w:p w14:paraId="65796B54">
      <w:pPr>
        <w:ind w:firstLine="420"/>
        <w:rPr>
          <w:rFonts w:ascii="宋体" w:hAnsi="宋体" w:cs="宋体"/>
          <w:color w:val="auto"/>
          <w:highlight w:val="none"/>
          <w:lang w:val="zh-CN"/>
        </w:rPr>
      </w:pPr>
      <w:r>
        <w:rPr>
          <w:rFonts w:hint="eastAsia" w:ascii="宋体" w:hAnsi="宋体" w:cs="宋体"/>
          <w:color w:val="auto"/>
          <w:highlight w:val="none"/>
          <w:lang w:val="zh-CN"/>
        </w:rPr>
        <w:t>（1）投标函（格式见附件）；</w:t>
      </w:r>
    </w:p>
    <w:p w14:paraId="0B130C44">
      <w:pPr>
        <w:ind w:firstLine="420"/>
        <w:rPr>
          <w:rFonts w:ascii="宋体" w:hAnsi="宋体" w:cs="宋体"/>
          <w:color w:val="auto"/>
          <w:highlight w:val="none"/>
          <w:lang w:val="zh-CN"/>
        </w:rPr>
      </w:pPr>
      <w:r>
        <w:rPr>
          <w:rFonts w:hint="eastAsia" w:ascii="宋体" w:hAnsi="宋体" w:cs="宋体"/>
          <w:color w:val="auto"/>
          <w:highlight w:val="none"/>
          <w:lang w:val="zh-CN"/>
        </w:rPr>
        <w:t>（2）报价表（格式见附件）；</w:t>
      </w:r>
    </w:p>
    <w:p w14:paraId="28CFB8E0">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3</w:t>
      </w:r>
      <w:r>
        <w:rPr>
          <w:rFonts w:hint="eastAsia" w:ascii="宋体" w:hAnsi="宋体" w:cs="宋体"/>
          <w:color w:val="auto"/>
          <w:highlight w:val="none"/>
          <w:lang w:val="zh-CN"/>
        </w:rPr>
        <w:t>）</w:t>
      </w:r>
      <w:r>
        <w:rPr>
          <w:rFonts w:hint="eastAsia" w:ascii="宋体" w:hAnsi="宋体" w:cs="宋体"/>
          <w:color w:val="auto"/>
          <w:highlight w:val="none"/>
        </w:rPr>
        <w:t>分项报价</w:t>
      </w:r>
      <w:r>
        <w:rPr>
          <w:rFonts w:hint="eastAsia" w:ascii="宋体" w:hAnsi="宋体" w:cs="宋体"/>
          <w:color w:val="auto"/>
          <w:highlight w:val="none"/>
          <w:lang w:val="zh-CN"/>
        </w:rPr>
        <w:t>表（格式见附件）；</w:t>
      </w:r>
    </w:p>
    <w:p w14:paraId="55B59D7A">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4</w:t>
      </w:r>
      <w:r>
        <w:rPr>
          <w:rFonts w:hint="eastAsia" w:ascii="宋体" w:hAnsi="宋体" w:cs="宋体"/>
          <w:color w:val="auto"/>
          <w:highlight w:val="none"/>
          <w:lang w:val="zh-CN"/>
        </w:rPr>
        <w:t>）</w:t>
      </w:r>
      <w:r>
        <w:rPr>
          <w:rFonts w:hint="eastAsia" w:ascii="宋体" w:hAnsi="宋体" w:cs="宋体"/>
          <w:color w:val="auto"/>
          <w:highlight w:val="none"/>
        </w:rPr>
        <w:t>随机备品备件清单</w:t>
      </w:r>
      <w:r>
        <w:rPr>
          <w:rFonts w:hint="eastAsia" w:ascii="宋体" w:hAnsi="宋体" w:cs="宋体"/>
          <w:color w:val="auto"/>
          <w:highlight w:val="none"/>
          <w:lang w:val="zh-CN"/>
        </w:rPr>
        <w:t>（格式见附件）；</w:t>
      </w:r>
    </w:p>
    <w:p w14:paraId="4481BAB5">
      <w:pPr>
        <w:ind w:firstLine="420"/>
        <w:rPr>
          <w:rFonts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rPr>
        <w:t>5</w:t>
      </w:r>
      <w:r>
        <w:rPr>
          <w:rFonts w:hint="eastAsia" w:ascii="宋体" w:hAnsi="宋体" w:cs="宋体"/>
          <w:color w:val="auto"/>
          <w:highlight w:val="none"/>
          <w:lang w:val="zh-CN"/>
        </w:rPr>
        <w:t>）投标人针对报价需要说明的其他文件和说明（格式自拟）；</w:t>
      </w:r>
    </w:p>
    <w:p w14:paraId="5F3FF732">
      <w:pPr>
        <w:ind w:firstLine="420"/>
        <w:rPr>
          <w:rFonts w:ascii="宋体" w:hAnsi="宋体" w:cs="宋体"/>
          <w:color w:val="auto"/>
          <w:highlight w:val="none"/>
          <w:lang w:val="zh-CN"/>
        </w:rPr>
      </w:pPr>
      <w:r>
        <w:rPr>
          <w:rFonts w:hint="eastAsia" w:ascii="宋体" w:hAnsi="宋体" w:cs="宋体"/>
          <w:color w:val="auto"/>
          <w:highlight w:val="none"/>
          <w:lang w:val="zh-CN"/>
        </w:rPr>
        <w:t>注：以上投标资料所要求为扫描件，均须加盖公章。中标后招标人有权对中标单位相关资料进行原件核实，若有虚假，则取消中标资格，并追究相应责任。</w:t>
      </w:r>
    </w:p>
    <w:p w14:paraId="12A354C7">
      <w:pPr>
        <w:pStyle w:val="3"/>
        <w:spacing w:before="156"/>
        <w:rPr>
          <w:rFonts w:ascii="宋体" w:hAnsi="宋体" w:cs="宋体"/>
          <w:color w:val="auto"/>
          <w:highlight w:val="none"/>
        </w:rPr>
      </w:pPr>
      <w:r>
        <w:rPr>
          <w:rFonts w:hint="eastAsia" w:ascii="宋体" w:hAnsi="宋体" w:cs="宋体"/>
          <w:bCs/>
          <w:color w:val="auto"/>
          <w:highlight w:val="none"/>
        </w:rPr>
        <w:br w:type="page"/>
      </w:r>
      <w:r>
        <w:rPr>
          <w:rFonts w:hint="eastAsia" w:ascii="宋体" w:hAnsi="宋体" w:cs="宋体"/>
          <w:color w:val="auto"/>
          <w:highlight w:val="none"/>
        </w:rPr>
        <w:t>第一部分：资审文件</w:t>
      </w:r>
    </w:p>
    <w:p w14:paraId="1C132078">
      <w:pPr>
        <w:pStyle w:val="4"/>
        <w:ind w:firstLine="0" w:firstLineChars="0"/>
        <w:rPr>
          <w:rFonts w:ascii="宋体" w:hAnsi="宋体" w:cs="宋体"/>
          <w:color w:val="auto"/>
          <w:highlight w:val="none"/>
        </w:rPr>
      </w:pPr>
      <w:r>
        <w:rPr>
          <w:rFonts w:hint="eastAsia" w:ascii="宋体" w:hAnsi="宋体" w:cs="宋体"/>
          <w:color w:val="auto"/>
          <w:highlight w:val="none"/>
        </w:rPr>
        <w:t>1. 法定代表人身份证明书</w:t>
      </w:r>
      <w:r>
        <w:rPr>
          <w:rFonts w:hint="eastAsia" w:ascii="宋体" w:hAnsi="宋体" w:cs="宋体"/>
          <w:color w:val="auto"/>
          <w:highlight w:val="none"/>
          <w:lang w:val="zh-CN"/>
        </w:rPr>
        <w:t>或法定代表人授权委托书</w:t>
      </w:r>
    </w:p>
    <w:p w14:paraId="3D3B5322">
      <w:pPr>
        <w:spacing w:line="640" w:lineRule="exact"/>
        <w:ind w:firstLine="0" w:firstLineChars="0"/>
        <w:jc w:val="center"/>
        <w:rPr>
          <w:rFonts w:ascii="宋体" w:hAnsi="宋体" w:cs="宋体"/>
          <w:b/>
          <w:color w:val="auto"/>
          <w:szCs w:val="21"/>
          <w:highlight w:val="none"/>
        </w:rPr>
      </w:pPr>
      <w:r>
        <w:rPr>
          <w:rFonts w:hint="eastAsia" w:ascii="宋体" w:hAnsi="宋体" w:cs="宋体"/>
          <w:b/>
          <w:color w:val="auto"/>
          <w:szCs w:val="21"/>
          <w:highlight w:val="none"/>
        </w:rPr>
        <w:t>法定代表人身份证明书</w:t>
      </w:r>
    </w:p>
    <w:p w14:paraId="60055DDA">
      <w:pPr>
        <w:spacing w:line="640" w:lineRule="exact"/>
        <w:ind w:firstLine="422"/>
        <w:jc w:val="center"/>
        <w:rPr>
          <w:rFonts w:ascii="宋体" w:hAnsi="宋体" w:cs="宋体"/>
          <w:b/>
          <w:color w:val="auto"/>
          <w:szCs w:val="21"/>
          <w:highlight w:val="none"/>
        </w:rPr>
      </w:pPr>
    </w:p>
    <w:p w14:paraId="7EEB3070">
      <w:pPr>
        <w:spacing w:line="60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投标人名称：</w:t>
      </w:r>
    </w:p>
    <w:p w14:paraId="00FBAC36">
      <w:pPr>
        <w:spacing w:line="60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单位性质：</w:t>
      </w:r>
    </w:p>
    <w:p w14:paraId="48B399BD">
      <w:pPr>
        <w:spacing w:line="60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地址：</w:t>
      </w:r>
    </w:p>
    <w:p w14:paraId="72B157DE">
      <w:pPr>
        <w:spacing w:line="600" w:lineRule="exact"/>
        <w:ind w:firstLine="420"/>
        <w:rPr>
          <w:rFonts w:ascii="宋体" w:hAnsi="宋体" w:cs="宋体"/>
          <w:color w:val="auto"/>
          <w:szCs w:val="21"/>
          <w:highlight w:val="none"/>
        </w:rPr>
      </w:pPr>
      <w:r>
        <w:rPr>
          <w:rFonts w:hint="eastAsia" w:ascii="宋体" w:hAnsi="宋体" w:cs="宋体"/>
          <w:color w:val="auto"/>
          <w:szCs w:val="21"/>
          <w:highlight w:val="none"/>
        </w:rPr>
        <w:t>成立时间：    年   月   日</w:t>
      </w:r>
    </w:p>
    <w:p w14:paraId="0595FC08">
      <w:pPr>
        <w:spacing w:line="60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经营期限：</w:t>
      </w:r>
    </w:p>
    <w:p w14:paraId="644E2DBD">
      <w:pPr>
        <w:spacing w:line="6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姓名：          性别：          年龄：           职务：</w:t>
      </w:r>
    </w:p>
    <w:p w14:paraId="10199E2B">
      <w:pPr>
        <w:spacing w:line="600" w:lineRule="exact"/>
        <w:ind w:firstLine="42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投标人名称）</w:t>
      </w:r>
      <w:r>
        <w:rPr>
          <w:rFonts w:hint="eastAsia" w:ascii="宋体" w:hAnsi="宋体" w:cs="宋体"/>
          <w:color w:val="auto"/>
          <w:szCs w:val="21"/>
          <w:highlight w:val="none"/>
        </w:rPr>
        <w:t>的法定代表人。</w:t>
      </w:r>
    </w:p>
    <w:p w14:paraId="1EE056A7">
      <w:pPr>
        <w:spacing w:line="640" w:lineRule="exact"/>
        <w:ind w:firstLine="420"/>
        <w:rPr>
          <w:rFonts w:ascii="宋体" w:hAnsi="宋体" w:cs="宋体"/>
          <w:color w:val="auto"/>
          <w:szCs w:val="21"/>
          <w:highlight w:val="none"/>
        </w:rPr>
      </w:pPr>
      <w:r>
        <w:rPr>
          <w:rFonts w:hint="eastAsia" w:ascii="宋体" w:hAnsi="宋体" w:cs="宋体"/>
          <w:color w:val="auto"/>
          <w:szCs w:val="21"/>
          <w:highlight w:val="none"/>
        </w:rPr>
        <w:t>特此证明。</w:t>
      </w:r>
    </w:p>
    <w:p w14:paraId="12D172A3">
      <w:pPr>
        <w:spacing w:line="64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附：法定代表人身份证正反面复印件。</w:t>
      </w:r>
    </w:p>
    <w:p w14:paraId="5820F071">
      <w:pPr>
        <w:spacing w:line="640" w:lineRule="exact"/>
        <w:ind w:firstLine="411" w:firstLineChars="196"/>
        <w:rPr>
          <w:rFonts w:ascii="宋体" w:hAnsi="宋体" w:cs="宋体"/>
          <w:color w:val="auto"/>
          <w:szCs w:val="21"/>
          <w:highlight w:val="none"/>
        </w:rPr>
      </w:pPr>
    </w:p>
    <w:p w14:paraId="69CC95EA">
      <w:pPr>
        <w:widowControl/>
        <w:spacing w:before="156" w:beforeLines="50" w:after="156" w:afterLines="50"/>
        <w:ind w:firstLine="420"/>
        <w:rPr>
          <w:rFonts w:ascii="宋体" w:hAnsi="宋体" w:cs="宋体"/>
          <w:color w:val="auto"/>
          <w:szCs w:val="21"/>
          <w:highlight w:val="none"/>
          <w:u w:val="single"/>
        </w:rPr>
      </w:pPr>
      <w:r>
        <w:rPr>
          <w:rFonts w:hint="eastAsia" w:ascii="宋体" w:hAnsi="宋体" w:cs="宋体"/>
          <w:color w:val="auto"/>
          <w:szCs w:val="21"/>
          <w:highlight w:val="none"/>
        </w:rPr>
        <w:t>投标人（盖公章）：</w:t>
      </w:r>
    </w:p>
    <w:p w14:paraId="7B9B82A9">
      <w:pPr>
        <w:widowControl/>
        <w:tabs>
          <w:tab w:val="left" w:pos="4080"/>
        </w:tabs>
        <w:spacing w:before="156" w:beforeLines="50" w:after="156" w:afterLines="50"/>
        <w:ind w:firstLine="420"/>
        <w:rPr>
          <w:rFonts w:ascii="宋体" w:hAnsi="宋体" w:cs="宋体"/>
          <w:color w:val="auto"/>
          <w:szCs w:val="21"/>
          <w:highlight w:val="none"/>
          <w:u w:val="single"/>
        </w:rPr>
      </w:pPr>
      <w:r>
        <w:rPr>
          <w:rFonts w:hint="eastAsia" w:ascii="宋体" w:hAnsi="宋体" w:cs="宋体"/>
          <w:color w:val="auto"/>
          <w:szCs w:val="21"/>
          <w:highlight w:val="none"/>
        </w:rPr>
        <w:t>法定代表人（签章）：</w:t>
      </w:r>
    </w:p>
    <w:p w14:paraId="0D64AE91">
      <w:pPr>
        <w:ind w:firstLine="420"/>
        <w:jc w:val="left"/>
        <w:rPr>
          <w:rFonts w:ascii="宋体" w:hAnsi="宋体" w:cs="宋体"/>
          <w:color w:val="auto"/>
          <w:szCs w:val="21"/>
          <w:highlight w:val="none"/>
        </w:rPr>
      </w:pPr>
      <w:r>
        <w:rPr>
          <w:rFonts w:hint="eastAsia" w:ascii="宋体" w:hAnsi="宋体" w:cs="宋体"/>
          <w:color w:val="auto"/>
          <w:szCs w:val="21"/>
          <w:highlight w:val="none"/>
        </w:rPr>
        <w:t>日期：   年   月   日</w:t>
      </w:r>
    </w:p>
    <w:tbl>
      <w:tblPr>
        <w:tblStyle w:val="41"/>
        <w:tblW w:w="8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1"/>
      </w:tblGrid>
      <w:tr w14:paraId="4FEC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jc w:val="center"/>
        </w:trPr>
        <w:tc>
          <w:tcPr>
            <w:tcW w:w="8071" w:type="dxa"/>
          </w:tcPr>
          <w:p w14:paraId="068C54F8">
            <w:pPr>
              <w:ind w:firstLine="0" w:firstLineChars="0"/>
              <w:rPr>
                <w:rFonts w:ascii="宋体" w:hAnsi="宋体" w:cs="宋体"/>
                <w:color w:val="auto"/>
                <w:szCs w:val="21"/>
                <w:highlight w:val="none"/>
              </w:rPr>
            </w:pPr>
          </w:p>
          <w:p w14:paraId="13934B94">
            <w:pPr>
              <w:ind w:firstLine="420"/>
              <w:jc w:val="center"/>
              <w:rPr>
                <w:rFonts w:ascii="宋体" w:hAnsi="宋体" w:cs="宋体"/>
                <w:color w:val="auto"/>
                <w:szCs w:val="21"/>
                <w:highlight w:val="none"/>
              </w:rPr>
            </w:pPr>
          </w:p>
          <w:p w14:paraId="409C51CA">
            <w:pPr>
              <w:ind w:firstLine="420"/>
              <w:jc w:val="center"/>
              <w:rPr>
                <w:rFonts w:ascii="宋体" w:hAnsi="宋体" w:cs="宋体"/>
                <w:color w:val="auto"/>
                <w:szCs w:val="21"/>
                <w:highlight w:val="none"/>
              </w:rPr>
            </w:pPr>
            <w:r>
              <w:rPr>
                <w:rFonts w:hint="eastAsia" w:ascii="宋体" w:hAnsi="宋体" w:cs="宋体"/>
                <w:color w:val="auto"/>
                <w:szCs w:val="21"/>
                <w:highlight w:val="none"/>
              </w:rPr>
              <w:t>法定代表人身份证正反面复印件</w:t>
            </w:r>
          </w:p>
        </w:tc>
      </w:tr>
    </w:tbl>
    <w:p w14:paraId="3E3BCF86">
      <w:pPr>
        <w:snapToGrid w:val="0"/>
        <w:spacing w:before="156" w:beforeLines="50" w:after="50"/>
        <w:ind w:firstLine="0" w:firstLineChars="0"/>
        <w:jc w:val="center"/>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法定代表人授权委托书</w:t>
      </w:r>
    </w:p>
    <w:p w14:paraId="31FA6457">
      <w:pPr>
        <w:snapToGrid w:val="0"/>
        <w:spacing w:before="156" w:beforeLines="50"/>
        <w:ind w:firstLine="420"/>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rPr>
        <w:t>招标人：</w:t>
      </w:r>
    </w:p>
    <w:p w14:paraId="083584DF">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color w:val="auto"/>
          <w:szCs w:val="21"/>
          <w:highlight w:val="none"/>
          <w:u w:val="single"/>
        </w:rPr>
        <w:t>（投标人名称）</w:t>
      </w:r>
      <w:r>
        <w:rPr>
          <w:rFonts w:hint="eastAsia" w:ascii="宋体" w:hAnsi="宋体" w:cs="宋体"/>
          <w:color w:val="auto"/>
          <w:szCs w:val="21"/>
          <w:highlight w:val="none"/>
        </w:rPr>
        <w:t>的法定代表人，现授权委托本单位在职职工</w:t>
      </w:r>
      <w:r>
        <w:rPr>
          <w:rFonts w:hint="eastAsia" w:ascii="宋体" w:hAnsi="宋体" w:cs="宋体"/>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项目的投标活动，并代表我方全权办理针对上述项目的投标、开标、评标、签约等具体事务和签署相关文件。</w:t>
      </w:r>
    </w:p>
    <w:p w14:paraId="12894BD2">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我方对被授权人的签名事项负全部责任。</w:t>
      </w:r>
    </w:p>
    <w:p w14:paraId="3F7F0D3C">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1A9E18D7">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45ED3F5E">
      <w:pPr>
        <w:snapToGrid w:val="0"/>
        <w:spacing w:before="156" w:beforeLines="50"/>
        <w:ind w:firstLine="420"/>
        <w:rPr>
          <w:rFonts w:ascii="宋体" w:hAnsi="宋体" w:cs="宋体"/>
          <w:color w:val="auto"/>
          <w:szCs w:val="21"/>
          <w:highlight w:val="none"/>
        </w:rPr>
      </w:pPr>
    </w:p>
    <w:p w14:paraId="40BD0842">
      <w:pPr>
        <w:snapToGrid w:val="0"/>
        <w:spacing w:before="156" w:beforeLines="50"/>
        <w:ind w:firstLine="420"/>
        <w:rPr>
          <w:rFonts w:ascii="宋体" w:hAnsi="宋体" w:cs="宋体"/>
          <w:color w:val="auto"/>
          <w:szCs w:val="21"/>
          <w:highlight w:val="none"/>
          <w:u w:val="single"/>
        </w:rPr>
      </w:pPr>
      <w:r>
        <w:rPr>
          <w:rFonts w:hint="eastAsia" w:ascii="宋体" w:hAnsi="宋体" w:cs="宋体"/>
          <w:color w:val="auto"/>
          <w:szCs w:val="21"/>
          <w:highlight w:val="none"/>
        </w:rPr>
        <w:t>被授权人（签章）：                  法定代表人（签章）：</w:t>
      </w:r>
    </w:p>
    <w:p w14:paraId="209A2F68">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职务：                              职务：</w:t>
      </w:r>
    </w:p>
    <w:p w14:paraId="4EAA1DB7">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被授权人手机号码：</w:t>
      </w:r>
    </w:p>
    <w:p w14:paraId="2AD412B4">
      <w:pPr>
        <w:snapToGrid w:val="0"/>
        <w:spacing w:before="156" w:beforeLines="50"/>
        <w:ind w:firstLine="420"/>
        <w:rPr>
          <w:rFonts w:ascii="宋体" w:hAnsi="宋体" w:cs="宋体"/>
          <w:color w:val="auto"/>
          <w:szCs w:val="21"/>
          <w:highlight w:val="none"/>
        </w:rPr>
      </w:pPr>
    </w:p>
    <w:p w14:paraId="7CDC473D">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投标人（盖章）：</w:t>
      </w:r>
    </w:p>
    <w:p w14:paraId="02A5F712">
      <w:pPr>
        <w:snapToGrid w:val="0"/>
        <w:spacing w:before="156" w:beforeLines="50"/>
        <w:ind w:firstLine="420"/>
        <w:rPr>
          <w:rFonts w:ascii="宋体" w:hAnsi="宋体" w:cs="宋体"/>
          <w:color w:val="auto"/>
          <w:szCs w:val="21"/>
          <w:highlight w:val="none"/>
        </w:rPr>
      </w:pPr>
      <w:r>
        <w:rPr>
          <w:rFonts w:hint="eastAsia" w:ascii="宋体" w:hAnsi="宋体" w:cs="宋体"/>
          <w:color w:val="auto"/>
          <w:szCs w:val="21"/>
          <w:highlight w:val="none"/>
        </w:rPr>
        <w:t>日期：  年   月   日</w:t>
      </w:r>
    </w:p>
    <w:tbl>
      <w:tblPr>
        <w:tblStyle w:val="4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44EA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4" w:hRule="atLeast"/>
        </w:trPr>
        <w:tc>
          <w:tcPr>
            <w:tcW w:w="8959" w:type="dxa"/>
          </w:tcPr>
          <w:p w14:paraId="20539B3A">
            <w:pPr>
              <w:ind w:firstLine="420"/>
              <w:rPr>
                <w:rFonts w:ascii="宋体" w:hAnsi="宋体" w:cs="宋体"/>
                <w:color w:val="auto"/>
                <w:szCs w:val="21"/>
                <w:highlight w:val="none"/>
              </w:rPr>
            </w:pPr>
          </w:p>
          <w:p w14:paraId="7291A1BA">
            <w:pPr>
              <w:ind w:firstLine="420"/>
              <w:rPr>
                <w:rFonts w:ascii="宋体" w:hAnsi="宋体" w:cs="宋体"/>
                <w:color w:val="auto"/>
                <w:szCs w:val="21"/>
                <w:highlight w:val="none"/>
              </w:rPr>
            </w:pPr>
          </w:p>
          <w:p w14:paraId="75B94581">
            <w:pPr>
              <w:ind w:firstLine="420"/>
              <w:jc w:val="center"/>
              <w:rPr>
                <w:rFonts w:ascii="宋体" w:hAnsi="宋体" w:cs="宋体"/>
                <w:color w:val="auto"/>
                <w:szCs w:val="21"/>
                <w:highlight w:val="none"/>
              </w:rPr>
            </w:pPr>
          </w:p>
          <w:p w14:paraId="32223505">
            <w:pPr>
              <w:spacing w:line="24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授权代表身份证正反面复印件</w:t>
            </w:r>
          </w:p>
        </w:tc>
      </w:tr>
    </w:tbl>
    <w:p w14:paraId="7CB22000">
      <w:pPr>
        <w:spacing w:before="156" w:beforeLines="50"/>
        <w:ind w:firstLine="422"/>
        <w:rPr>
          <w:rFonts w:ascii="宋体" w:hAnsi="宋体" w:cs="宋体"/>
          <w:b/>
          <w:bCs/>
          <w:color w:val="auto"/>
          <w:szCs w:val="21"/>
          <w:highlight w:val="none"/>
        </w:rPr>
      </w:pPr>
      <w:r>
        <w:rPr>
          <w:rFonts w:hint="eastAsia" w:ascii="宋体" w:hAnsi="宋体" w:cs="宋体"/>
          <w:b/>
          <w:bCs/>
          <w:color w:val="auto"/>
          <w:szCs w:val="21"/>
          <w:highlight w:val="none"/>
        </w:rPr>
        <w:t>注：1、如果由投标人法定代表人的授权委托人签署投标文件，须同时提交法定代表人身份证明书和法定代表人授权委托书；</w:t>
      </w:r>
    </w:p>
    <w:p w14:paraId="3CF327EB">
      <w:pPr>
        <w:ind w:firstLine="422"/>
        <w:rPr>
          <w:rFonts w:ascii="宋体" w:hAnsi="宋体" w:cs="宋体"/>
          <w:b/>
          <w:bCs/>
          <w:color w:val="auto"/>
          <w:highlight w:val="none"/>
        </w:rPr>
      </w:pPr>
      <w:r>
        <w:rPr>
          <w:rFonts w:hint="eastAsia" w:ascii="宋体" w:hAnsi="宋体" w:cs="宋体"/>
          <w:b/>
          <w:bCs/>
          <w:color w:val="auto"/>
          <w:szCs w:val="21"/>
          <w:highlight w:val="none"/>
        </w:rPr>
        <w:t>2、如果由投标人法定代表人签署投标文件，仅需提交法定代表人身份证明书，无需提交法定代表人授权委托书。</w:t>
      </w:r>
    </w:p>
    <w:p w14:paraId="73CBA151">
      <w:pPr>
        <w:pStyle w:val="4"/>
        <w:ind w:firstLine="0" w:firstLineChars="0"/>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sz w:val="24"/>
          <w:highlight w:val="none"/>
        </w:rPr>
        <w:t>2. 投标人资格声明函</w:t>
      </w:r>
    </w:p>
    <w:p w14:paraId="57715290">
      <w:pPr>
        <w:pStyle w:val="40"/>
        <w:ind w:firstLine="0" w:firstLineChars="0"/>
        <w:rPr>
          <w:rFonts w:hint="default" w:hAnsi="宋体"/>
          <w:color w:val="auto"/>
          <w:highlight w:val="none"/>
        </w:rPr>
      </w:pPr>
    </w:p>
    <w:p w14:paraId="0C0743CE">
      <w:pPr>
        <w:ind w:firstLine="0" w:firstLineChars="0"/>
        <w:jc w:val="center"/>
        <w:rPr>
          <w:rFonts w:ascii="宋体" w:hAnsi="宋体" w:cs="宋体"/>
          <w:b/>
          <w:bCs/>
          <w:color w:val="auto"/>
          <w:highlight w:val="none"/>
        </w:rPr>
      </w:pPr>
      <w:r>
        <w:rPr>
          <w:rFonts w:hint="eastAsia" w:ascii="宋体" w:hAnsi="宋体" w:cs="宋体"/>
          <w:b/>
          <w:bCs/>
          <w:color w:val="auto"/>
          <w:highlight w:val="none"/>
        </w:rPr>
        <w:t>投标人资格声明函</w:t>
      </w:r>
    </w:p>
    <w:p w14:paraId="53CF455E">
      <w:pPr>
        <w:ind w:firstLine="420"/>
        <w:rPr>
          <w:rFonts w:ascii="宋体" w:hAnsi="宋体" w:cs="宋体"/>
          <w:color w:val="auto"/>
          <w:highlight w:val="none"/>
        </w:rPr>
      </w:pPr>
    </w:p>
    <w:p w14:paraId="4BE84B51">
      <w:pPr>
        <w:ind w:firstLine="420"/>
        <w:rPr>
          <w:rFonts w:ascii="宋体" w:hAnsi="宋体" w:cs="宋体"/>
          <w:color w:val="auto"/>
          <w:highlight w:val="none"/>
        </w:rPr>
      </w:pPr>
      <w:r>
        <w:rPr>
          <w:rFonts w:hint="eastAsia" w:ascii="宋体" w:hAnsi="宋体" w:cs="宋体"/>
          <w:color w:val="auto"/>
          <w:highlight w:val="none"/>
        </w:rPr>
        <w:t>（一）我单位：</w:t>
      </w:r>
    </w:p>
    <w:p w14:paraId="66FBD6E0">
      <w:pPr>
        <w:ind w:firstLine="420"/>
        <w:rPr>
          <w:rFonts w:ascii="宋体" w:hAnsi="宋体" w:cs="宋体"/>
          <w:color w:val="auto"/>
          <w:highlight w:val="none"/>
        </w:rPr>
      </w:pPr>
      <w:r>
        <w:rPr>
          <w:rFonts w:hint="eastAsia" w:ascii="宋体" w:hAnsi="宋体" w:cs="宋体"/>
          <w:color w:val="auto"/>
          <w:highlight w:val="none"/>
        </w:rPr>
        <w:t>1、具有合法有效的营业执照；</w:t>
      </w:r>
    </w:p>
    <w:p w14:paraId="2CA11D22">
      <w:pPr>
        <w:ind w:firstLine="420"/>
        <w:rPr>
          <w:rFonts w:ascii="宋体" w:hAnsi="宋体" w:cs="宋体"/>
          <w:color w:val="auto"/>
          <w:highlight w:val="none"/>
        </w:rPr>
      </w:pPr>
      <w:r>
        <w:rPr>
          <w:rFonts w:hint="eastAsia" w:ascii="宋体" w:hAnsi="宋体" w:cs="宋体"/>
          <w:color w:val="auto"/>
          <w:highlight w:val="none"/>
        </w:rPr>
        <w:t>2、具有良好的商业信誉和健全的财务会计制度；</w:t>
      </w:r>
    </w:p>
    <w:p w14:paraId="3140D3BF">
      <w:pPr>
        <w:ind w:firstLine="420"/>
        <w:rPr>
          <w:rFonts w:ascii="宋体" w:hAnsi="宋体" w:cs="宋体"/>
          <w:color w:val="auto"/>
          <w:highlight w:val="none"/>
        </w:rPr>
      </w:pPr>
      <w:r>
        <w:rPr>
          <w:rFonts w:hint="eastAsia" w:ascii="宋体" w:hAnsi="宋体" w:cs="宋体"/>
          <w:color w:val="auto"/>
          <w:highlight w:val="none"/>
        </w:rPr>
        <w:t>3、具有履行合同所必需的设备和专业技术能力；</w:t>
      </w:r>
    </w:p>
    <w:p w14:paraId="5E7618A8">
      <w:pPr>
        <w:ind w:firstLine="420"/>
        <w:rPr>
          <w:rFonts w:hint="eastAsia" w:ascii="宋体" w:hAnsi="宋体" w:cs="宋体"/>
          <w:color w:val="auto"/>
          <w:highlight w:val="none"/>
        </w:rPr>
      </w:pPr>
      <w:r>
        <w:rPr>
          <w:rFonts w:hint="eastAsia" w:ascii="宋体" w:hAnsi="宋体" w:cs="宋体"/>
          <w:color w:val="auto"/>
          <w:highlight w:val="none"/>
        </w:rPr>
        <w:t>4、有依法缴纳税收和社会保障资金的良好记录；</w:t>
      </w:r>
    </w:p>
    <w:p w14:paraId="06FB4C2B">
      <w:pPr>
        <w:ind w:firstLine="420"/>
        <w:rPr>
          <w:rFonts w:hint="eastAsia" w:ascii="宋体" w:hAnsi="宋体" w:cs="宋体"/>
          <w:color w:val="auto"/>
          <w:highlight w:val="none"/>
        </w:rPr>
      </w:pPr>
      <w:r>
        <w:rPr>
          <w:rFonts w:hint="eastAsia" w:ascii="宋体" w:hAnsi="宋体" w:cs="宋体"/>
          <w:color w:val="auto"/>
          <w:highlight w:val="none"/>
          <w:lang w:val="en-US" w:eastAsia="zh-CN"/>
        </w:rPr>
        <w:t>5、具有独立承担民事责任的能力</w:t>
      </w:r>
      <w:r>
        <w:rPr>
          <w:rFonts w:hint="eastAsia" w:ascii="宋体" w:hAnsi="宋体" w:cs="宋体"/>
          <w:color w:val="auto"/>
          <w:highlight w:val="none"/>
        </w:rPr>
        <w:t>；</w:t>
      </w:r>
    </w:p>
    <w:p w14:paraId="7287B1EA">
      <w:pPr>
        <w:ind w:firstLine="420"/>
        <w:rPr>
          <w:rFonts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、参加招标投标活动前三年内，在经营活动中没有重大违法记录；</w:t>
      </w:r>
    </w:p>
    <w:p w14:paraId="3ECF1D40">
      <w:pPr>
        <w:ind w:firstLine="420"/>
        <w:rPr>
          <w:rFonts w:hint="eastAsia"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、法律、行政法规规定的其他条件。</w:t>
      </w:r>
    </w:p>
    <w:p w14:paraId="21428894">
      <w:pPr>
        <w:ind w:firstLine="420"/>
        <w:rPr>
          <w:rFonts w:ascii="宋体" w:hAnsi="宋体" w:cs="宋体"/>
          <w:color w:val="auto"/>
          <w:highlight w:val="none"/>
        </w:rPr>
      </w:pPr>
      <w:r>
        <w:rPr>
          <w:rFonts w:hint="eastAsia" w:ascii="宋体" w:hAnsi="宋体" w:cs="宋体"/>
          <w:color w:val="auto"/>
          <w:highlight w:val="none"/>
        </w:rPr>
        <w:t>（二）我单位承诺遵守以下要求：</w:t>
      </w:r>
    </w:p>
    <w:p w14:paraId="2C83C5F3">
      <w:pPr>
        <w:ind w:firstLine="420"/>
        <w:rPr>
          <w:rFonts w:ascii="宋体" w:hAnsi="宋体" w:cs="宋体"/>
          <w:color w:val="auto"/>
          <w:highlight w:val="none"/>
        </w:rPr>
      </w:pPr>
      <w:r>
        <w:rPr>
          <w:rFonts w:hint="eastAsia" w:ascii="宋体" w:hAnsi="宋体" w:cs="宋体"/>
          <w:color w:val="auto"/>
          <w:highlight w:val="none"/>
        </w:rPr>
        <w:t>单位负责人为同一人或者存在控股、管理关系的不同单位，不得参加同一标段投标或者未划分标段的同一项目投标。</w:t>
      </w:r>
    </w:p>
    <w:p w14:paraId="6516EC99">
      <w:pPr>
        <w:ind w:firstLine="420"/>
        <w:rPr>
          <w:rFonts w:ascii="宋体" w:hAnsi="宋体" w:cs="宋体"/>
          <w:color w:val="auto"/>
          <w:highlight w:val="none"/>
        </w:rPr>
      </w:pPr>
      <w:r>
        <w:rPr>
          <w:rFonts w:hint="eastAsia" w:ascii="宋体" w:hAnsi="宋体" w:cs="宋体"/>
          <w:color w:val="auto"/>
          <w:highlight w:val="none"/>
        </w:rPr>
        <w:t>（三）我单位非联合体投标。</w:t>
      </w:r>
    </w:p>
    <w:p w14:paraId="141BAE74">
      <w:pPr>
        <w:ind w:firstLine="420"/>
        <w:rPr>
          <w:rFonts w:ascii="宋体" w:hAnsi="宋体" w:cs="宋体"/>
          <w:color w:val="auto"/>
          <w:highlight w:val="none"/>
        </w:rPr>
      </w:pPr>
      <w:r>
        <w:rPr>
          <w:rFonts w:hint="eastAsia" w:ascii="宋体" w:hAnsi="宋体" w:cs="宋体"/>
          <w:color w:val="auto"/>
          <w:highlight w:val="none"/>
        </w:rPr>
        <w:t>（四）如获中标，将严格履行合同义务，绝不转包或违法分包本项目。</w:t>
      </w:r>
    </w:p>
    <w:p w14:paraId="5C249DBD">
      <w:pPr>
        <w:ind w:firstLine="420"/>
        <w:rPr>
          <w:rFonts w:ascii="宋体" w:hAnsi="宋体" w:cs="宋体"/>
          <w:color w:val="auto"/>
          <w:highlight w:val="none"/>
        </w:rPr>
      </w:pPr>
      <w:r>
        <w:rPr>
          <w:rFonts w:hint="eastAsia" w:ascii="宋体" w:hAnsi="宋体" w:cs="宋体"/>
          <w:color w:val="auto"/>
          <w:highlight w:val="none"/>
        </w:rPr>
        <w:t>特此承诺。</w:t>
      </w:r>
    </w:p>
    <w:p w14:paraId="141E1A64">
      <w:pPr>
        <w:ind w:firstLine="420"/>
        <w:rPr>
          <w:rFonts w:ascii="宋体" w:hAnsi="宋体" w:cs="宋体"/>
          <w:color w:val="auto"/>
          <w:highlight w:val="none"/>
        </w:rPr>
      </w:pPr>
    </w:p>
    <w:p w14:paraId="678FEBAC">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72A52E1F">
      <w:pPr>
        <w:ind w:firstLine="420"/>
        <w:rPr>
          <w:rFonts w:ascii="宋体" w:hAnsi="宋体" w:cs="宋体"/>
          <w:color w:val="auto"/>
          <w:highlight w:val="none"/>
        </w:rPr>
      </w:pPr>
      <w:r>
        <w:rPr>
          <w:rFonts w:hint="eastAsia" w:ascii="宋体" w:hAnsi="宋体" w:cs="宋体"/>
          <w:color w:val="auto"/>
          <w:highlight w:val="none"/>
        </w:rPr>
        <w:t>投标人名称（盖章）：</w:t>
      </w:r>
    </w:p>
    <w:p w14:paraId="0E093293">
      <w:pPr>
        <w:ind w:firstLine="420"/>
        <w:jc w:val="right"/>
        <w:rPr>
          <w:rFonts w:ascii="宋体" w:hAnsi="宋体" w:cs="宋体"/>
          <w:color w:val="auto"/>
          <w:highlight w:val="none"/>
        </w:rPr>
      </w:pPr>
      <w:r>
        <w:rPr>
          <w:rFonts w:hint="eastAsia" w:ascii="宋体" w:hAnsi="宋体" w:cs="宋体"/>
          <w:color w:val="auto"/>
          <w:highlight w:val="none"/>
        </w:rPr>
        <w:t>日期：  年   月   日</w:t>
      </w:r>
    </w:p>
    <w:p w14:paraId="2BD154DC">
      <w:pPr>
        <w:pStyle w:val="40"/>
        <w:ind w:firstLine="0" w:firstLineChars="0"/>
        <w:rPr>
          <w:rFonts w:hint="default" w:hAnsi="宋体"/>
          <w:color w:val="auto"/>
          <w:highlight w:val="none"/>
        </w:rPr>
      </w:pPr>
    </w:p>
    <w:p w14:paraId="0BECBF34">
      <w:pPr>
        <w:pStyle w:val="4"/>
        <w:ind w:firstLine="0" w:firstLineChars="0"/>
        <w:rPr>
          <w:rFonts w:ascii="宋体" w:hAnsi="宋体" w:cs="宋体"/>
          <w:color w:val="auto"/>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3</w:t>
      </w:r>
      <w:r>
        <w:rPr>
          <w:rFonts w:hint="eastAsia" w:ascii="宋体" w:hAnsi="宋体" w:cs="宋体"/>
          <w:color w:val="auto"/>
          <w:szCs w:val="21"/>
          <w:highlight w:val="none"/>
        </w:rPr>
        <w:t xml:space="preserve">. </w:t>
      </w:r>
      <w:r>
        <w:rPr>
          <w:rFonts w:hint="eastAsia" w:ascii="宋体" w:hAnsi="宋体" w:cs="宋体"/>
          <w:color w:val="auto"/>
          <w:highlight w:val="none"/>
        </w:rPr>
        <w:t>营业执照</w:t>
      </w:r>
    </w:p>
    <w:p w14:paraId="75EA25FA">
      <w:pPr>
        <w:ind w:firstLine="420"/>
        <w:jc w:val="right"/>
        <w:rPr>
          <w:rFonts w:ascii="宋体" w:hAnsi="宋体" w:cs="宋体"/>
          <w:color w:val="auto"/>
          <w:highlight w:val="none"/>
        </w:rPr>
      </w:pPr>
    </w:p>
    <w:p w14:paraId="41F66CBB">
      <w:pPr>
        <w:ind w:firstLine="0" w:firstLineChars="0"/>
        <w:jc w:val="center"/>
        <w:rPr>
          <w:rFonts w:ascii="宋体" w:hAnsi="宋体" w:cs="宋体"/>
          <w:b/>
          <w:bCs/>
          <w:color w:val="auto"/>
          <w:highlight w:val="none"/>
        </w:rPr>
      </w:pPr>
      <w:r>
        <w:rPr>
          <w:rFonts w:hint="eastAsia" w:ascii="宋体" w:hAnsi="宋体" w:cs="宋体"/>
          <w:b/>
          <w:bCs/>
          <w:color w:val="auto"/>
          <w:highlight w:val="none"/>
        </w:rPr>
        <w:t>营业执照(或事业法人登记证书或其它工商等登记证明材料)</w:t>
      </w:r>
    </w:p>
    <w:p w14:paraId="649E6578">
      <w:pPr>
        <w:ind w:firstLine="420"/>
        <w:rPr>
          <w:rFonts w:ascii="宋体" w:hAnsi="宋体" w:cs="宋体"/>
          <w:color w:val="auto"/>
          <w:highlight w:val="none"/>
        </w:rPr>
      </w:pPr>
      <w:r>
        <w:rPr>
          <w:rFonts w:hint="eastAsia" w:ascii="宋体" w:hAnsi="宋体" w:cs="宋体"/>
          <w:color w:val="auto"/>
          <w:highlight w:val="none"/>
        </w:rPr>
        <w:t>说明：</w:t>
      </w:r>
    </w:p>
    <w:p w14:paraId="1C65B7D1">
      <w:pPr>
        <w:ind w:firstLine="420"/>
        <w:rPr>
          <w:rFonts w:ascii="宋体" w:hAnsi="宋体" w:cs="宋体"/>
          <w:color w:val="auto"/>
          <w:highlight w:val="none"/>
        </w:rPr>
      </w:pPr>
      <w:r>
        <w:rPr>
          <w:rFonts w:hint="eastAsia" w:ascii="宋体" w:hAnsi="宋体" w:cs="宋体"/>
          <w:color w:val="auto"/>
          <w:highlight w:val="none"/>
        </w:rPr>
        <w:t>1、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其他供应商应按照有关法律、法规和规章规定，提供有效的相应具体证照复印件。</w:t>
      </w:r>
    </w:p>
    <w:p w14:paraId="3E604EA8">
      <w:pPr>
        <w:ind w:firstLine="420"/>
        <w:rPr>
          <w:rFonts w:ascii="宋体" w:hAnsi="宋体" w:cs="宋体"/>
          <w:color w:val="auto"/>
          <w:highlight w:val="none"/>
        </w:rPr>
      </w:pPr>
      <w:r>
        <w:rPr>
          <w:rFonts w:hint="eastAsia" w:ascii="宋体" w:hAnsi="宋体" w:cs="宋体"/>
          <w:color w:val="auto"/>
          <w:highlight w:val="none"/>
        </w:rPr>
        <w:t>2、供应商提供的相应证明材料复印件均应符合：内容完整、清晰、整洁，并由供应商加盖其单位公章。</w:t>
      </w:r>
    </w:p>
    <w:p w14:paraId="3B426D3D">
      <w:pPr>
        <w:ind w:firstLine="420"/>
        <w:rPr>
          <w:rFonts w:ascii="宋体" w:hAnsi="宋体" w:cs="宋体"/>
          <w:color w:val="auto"/>
          <w:highlight w:val="none"/>
        </w:rPr>
      </w:pPr>
    </w:p>
    <w:p w14:paraId="76BE8F26">
      <w:pPr>
        <w:ind w:firstLine="420"/>
        <w:rPr>
          <w:rFonts w:ascii="宋体" w:hAnsi="宋体" w:cs="宋体"/>
          <w:color w:val="auto"/>
          <w:highlight w:val="none"/>
        </w:rPr>
      </w:pPr>
    </w:p>
    <w:p w14:paraId="680D0BB9">
      <w:pPr>
        <w:ind w:firstLine="420"/>
        <w:rPr>
          <w:rFonts w:ascii="宋体" w:hAnsi="宋体" w:cs="宋体"/>
          <w:color w:val="auto"/>
          <w:highlight w:val="none"/>
        </w:rPr>
      </w:pPr>
    </w:p>
    <w:p w14:paraId="7BC42BE6">
      <w:pPr>
        <w:ind w:firstLine="420"/>
        <w:rPr>
          <w:rFonts w:ascii="宋体" w:hAnsi="宋体" w:cs="宋体"/>
          <w:color w:val="auto"/>
          <w:highlight w:val="none"/>
        </w:rPr>
      </w:pPr>
    </w:p>
    <w:p w14:paraId="47AA7BB1">
      <w:pPr>
        <w:ind w:firstLine="420"/>
        <w:rPr>
          <w:rFonts w:ascii="宋体" w:hAnsi="宋体" w:cs="宋体"/>
          <w:color w:val="auto"/>
          <w:highlight w:val="none"/>
        </w:rPr>
      </w:pPr>
    </w:p>
    <w:p w14:paraId="7D17A9FC">
      <w:pPr>
        <w:pStyle w:val="4"/>
        <w:ind w:firstLine="0" w:firstLineChars="0"/>
        <w:rPr>
          <w:rFonts w:ascii="宋体" w:hAnsi="宋体" w:cs="宋体"/>
          <w:color w:val="auto"/>
          <w:highlight w:val="none"/>
        </w:rPr>
      </w:pPr>
      <w:r>
        <w:rPr>
          <w:rFonts w:hint="eastAsia" w:ascii="宋体" w:hAnsi="宋体" w:cs="宋体"/>
          <w:color w:val="auto"/>
          <w:sz w:val="24"/>
          <w:highlight w:val="none"/>
        </w:rPr>
        <w:br w:type="page"/>
      </w:r>
      <w:r>
        <w:rPr>
          <w:rFonts w:hint="eastAsia" w:ascii="宋体" w:hAnsi="宋体" w:cs="宋体"/>
          <w:color w:val="auto"/>
          <w:highlight w:val="none"/>
        </w:rPr>
        <w:t>4. 投标人基本情况表</w:t>
      </w:r>
    </w:p>
    <w:p w14:paraId="6BFD88B1">
      <w:pPr>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t>投标人基本情况表</w:t>
      </w:r>
    </w:p>
    <w:tbl>
      <w:tblPr>
        <w:tblStyle w:val="41"/>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065"/>
        <w:gridCol w:w="218"/>
        <w:gridCol w:w="1195"/>
        <w:gridCol w:w="1169"/>
        <w:gridCol w:w="1231"/>
        <w:gridCol w:w="371"/>
        <w:gridCol w:w="352"/>
        <w:gridCol w:w="285"/>
        <w:gridCol w:w="1416"/>
      </w:tblGrid>
      <w:tr w14:paraId="041B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9FA44F1">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投标人名称</w:t>
            </w:r>
          </w:p>
        </w:tc>
        <w:tc>
          <w:tcPr>
            <w:tcW w:w="7302" w:type="dxa"/>
            <w:gridSpan w:val="9"/>
            <w:vAlign w:val="center"/>
          </w:tcPr>
          <w:p w14:paraId="64956392">
            <w:pPr>
              <w:ind w:firstLine="0" w:firstLineChars="0"/>
              <w:jc w:val="center"/>
              <w:rPr>
                <w:rFonts w:ascii="宋体" w:hAnsi="宋体" w:cs="宋体"/>
                <w:color w:val="auto"/>
                <w:szCs w:val="21"/>
                <w:highlight w:val="none"/>
              </w:rPr>
            </w:pPr>
          </w:p>
        </w:tc>
      </w:tr>
      <w:tr w14:paraId="72CD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DF22D49">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注册地址</w:t>
            </w:r>
          </w:p>
        </w:tc>
        <w:tc>
          <w:tcPr>
            <w:tcW w:w="3647" w:type="dxa"/>
            <w:gridSpan w:val="4"/>
            <w:vAlign w:val="center"/>
          </w:tcPr>
          <w:p w14:paraId="53472419">
            <w:pPr>
              <w:ind w:firstLine="0" w:firstLineChars="0"/>
              <w:jc w:val="center"/>
              <w:rPr>
                <w:rFonts w:ascii="宋体" w:hAnsi="宋体" w:cs="宋体"/>
                <w:color w:val="auto"/>
                <w:szCs w:val="21"/>
                <w:highlight w:val="none"/>
              </w:rPr>
            </w:pPr>
          </w:p>
        </w:tc>
        <w:tc>
          <w:tcPr>
            <w:tcW w:w="1602" w:type="dxa"/>
            <w:gridSpan w:val="2"/>
            <w:vAlign w:val="center"/>
          </w:tcPr>
          <w:p w14:paraId="705871ED">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邮政编码</w:t>
            </w:r>
          </w:p>
        </w:tc>
        <w:tc>
          <w:tcPr>
            <w:tcW w:w="2053" w:type="dxa"/>
            <w:gridSpan w:val="3"/>
            <w:vAlign w:val="center"/>
          </w:tcPr>
          <w:p w14:paraId="0B9A2EA3">
            <w:pPr>
              <w:ind w:firstLine="0" w:firstLineChars="0"/>
              <w:jc w:val="center"/>
              <w:rPr>
                <w:rFonts w:ascii="宋体" w:hAnsi="宋体" w:cs="宋体"/>
                <w:color w:val="auto"/>
                <w:szCs w:val="21"/>
                <w:highlight w:val="none"/>
              </w:rPr>
            </w:pPr>
          </w:p>
        </w:tc>
      </w:tr>
      <w:tr w14:paraId="2145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6551A03D">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联系方式</w:t>
            </w:r>
          </w:p>
        </w:tc>
        <w:tc>
          <w:tcPr>
            <w:tcW w:w="1283" w:type="dxa"/>
            <w:gridSpan w:val="2"/>
            <w:vAlign w:val="center"/>
          </w:tcPr>
          <w:p w14:paraId="34C20B80">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2364" w:type="dxa"/>
            <w:gridSpan w:val="2"/>
            <w:vAlign w:val="center"/>
          </w:tcPr>
          <w:p w14:paraId="4A01328E">
            <w:pPr>
              <w:ind w:firstLine="0" w:firstLineChars="0"/>
              <w:jc w:val="center"/>
              <w:rPr>
                <w:rFonts w:ascii="宋体" w:hAnsi="宋体" w:cs="宋体"/>
                <w:color w:val="auto"/>
                <w:szCs w:val="21"/>
                <w:highlight w:val="none"/>
              </w:rPr>
            </w:pPr>
          </w:p>
        </w:tc>
        <w:tc>
          <w:tcPr>
            <w:tcW w:w="1602" w:type="dxa"/>
            <w:gridSpan w:val="2"/>
            <w:vAlign w:val="center"/>
          </w:tcPr>
          <w:p w14:paraId="2CD128B2">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电话</w:t>
            </w:r>
          </w:p>
        </w:tc>
        <w:tc>
          <w:tcPr>
            <w:tcW w:w="2053" w:type="dxa"/>
            <w:gridSpan w:val="3"/>
            <w:vAlign w:val="center"/>
          </w:tcPr>
          <w:p w14:paraId="5D547F65">
            <w:pPr>
              <w:ind w:firstLine="0" w:firstLineChars="0"/>
              <w:jc w:val="center"/>
              <w:rPr>
                <w:rFonts w:ascii="宋体" w:hAnsi="宋体" w:cs="宋体"/>
                <w:color w:val="auto"/>
                <w:szCs w:val="21"/>
                <w:highlight w:val="none"/>
              </w:rPr>
            </w:pPr>
          </w:p>
        </w:tc>
      </w:tr>
      <w:tr w14:paraId="5A08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7CA1794F">
            <w:pPr>
              <w:ind w:firstLine="0" w:firstLineChars="0"/>
              <w:jc w:val="center"/>
              <w:rPr>
                <w:rFonts w:ascii="宋体" w:hAnsi="宋体" w:cs="宋体"/>
                <w:color w:val="auto"/>
                <w:szCs w:val="21"/>
                <w:highlight w:val="none"/>
              </w:rPr>
            </w:pPr>
          </w:p>
        </w:tc>
        <w:tc>
          <w:tcPr>
            <w:tcW w:w="1283" w:type="dxa"/>
            <w:gridSpan w:val="2"/>
            <w:vAlign w:val="center"/>
          </w:tcPr>
          <w:p w14:paraId="64F1F57C">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传真</w:t>
            </w:r>
          </w:p>
        </w:tc>
        <w:tc>
          <w:tcPr>
            <w:tcW w:w="2364" w:type="dxa"/>
            <w:gridSpan w:val="2"/>
            <w:vAlign w:val="center"/>
          </w:tcPr>
          <w:p w14:paraId="4EB2F0F1">
            <w:pPr>
              <w:ind w:firstLine="0" w:firstLineChars="0"/>
              <w:jc w:val="center"/>
              <w:rPr>
                <w:rFonts w:ascii="宋体" w:hAnsi="宋体" w:cs="宋体"/>
                <w:color w:val="auto"/>
                <w:szCs w:val="21"/>
                <w:highlight w:val="none"/>
              </w:rPr>
            </w:pPr>
          </w:p>
        </w:tc>
        <w:tc>
          <w:tcPr>
            <w:tcW w:w="1602" w:type="dxa"/>
            <w:gridSpan w:val="2"/>
            <w:vAlign w:val="center"/>
          </w:tcPr>
          <w:p w14:paraId="55E07212">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邮箱</w:t>
            </w:r>
          </w:p>
        </w:tc>
        <w:tc>
          <w:tcPr>
            <w:tcW w:w="2053" w:type="dxa"/>
            <w:gridSpan w:val="3"/>
            <w:vAlign w:val="center"/>
          </w:tcPr>
          <w:p w14:paraId="5EB28976">
            <w:pPr>
              <w:ind w:firstLine="0" w:firstLineChars="0"/>
              <w:jc w:val="center"/>
              <w:rPr>
                <w:rFonts w:ascii="宋体" w:hAnsi="宋体" w:cs="宋体"/>
                <w:color w:val="auto"/>
                <w:szCs w:val="21"/>
                <w:highlight w:val="none"/>
              </w:rPr>
            </w:pPr>
          </w:p>
        </w:tc>
      </w:tr>
      <w:tr w14:paraId="330C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1" w:type="dxa"/>
            <w:vAlign w:val="center"/>
          </w:tcPr>
          <w:p w14:paraId="75F1647A">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法定代表人</w:t>
            </w:r>
          </w:p>
        </w:tc>
        <w:tc>
          <w:tcPr>
            <w:tcW w:w="1065" w:type="dxa"/>
            <w:vAlign w:val="center"/>
          </w:tcPr>
          <w:p w14:paraId="2791C339">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1413" w:type="dxa"/>
            <w:gridSpan w:val="2"/>
            <w:vAlign w:val="center"/>
          </w:tcPr>
          <w:p w14:paraId="64BC310C">
            <w:pPr>
              <w:ind w:firstLine="0" w:firstLineChars="0"/>
              <w:jc w:val="center"/>
              <w:rPr>
                <w:rFonts w:ascii="宋体" w:hAnsi="宋体" w:cs="宋体"/>
                <w:color w:val="auto"/>
                <w:szCs w:val="21"/>
                <w:highlight w:val="none"/>
              </w:rPr>
            </w:pPr>
          </w:p>
        </w:tc>
        <w:tc>
          <w:tcPr>
            <w:tcW w:w="1169" w:type="dxa"/>
            <w:vAlign w:val="center"/>
          </w:tcPr>
          <w:p w14:paraId="55A9A0FB">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技术职称</w:t>
            </w:r>
          </w:p>
        </w:tc>
        <w:tc>
          <w:tcPr>
            <w:tcW w:w="1231" w:type="dxa"/>
            <w:vAlign w:val="center"/>
          </w:tcPr>
          <w:p w14:paraId="43F3E0E1">
            <w:pPr>
              <w:ind w:firstLine="0" w:firstLineChars="0"/>
              <w:jc w:val="center"/>
              <w:rPr>
                <w:rFonts w:ascii="宋体" w:hAnsi="宋体" w:cs="宋体"/>
                <w:color w:val="auto"/>
                <w:szCs w:val="21"/>
                <w:highlight w:val="none"/>
              </w:rPr>
            </w:pPr>
          </w:p>
        </w:tc>
        <w:tc>
          <w:tcPr>
            <w:tcW w:w="1008" w:type="dxa"/>
            <w:gridSpan w:val="3"/>
            <w:vAlign w:val="center"/>
          </w:tcPr>
          <w:p w14:paraId="29FFDAAB">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电话</w:t>
            </w:r>
          </w:p>
        </w:tc>
        <w:tc>
          <w:tcPr>
            <w:tcW w:w="1416" w:type="dxa"/>
            <w:vAlign w:val="center"/>
          </w:tcPr>
          <w:p w14:paraId="3EF29388">
            <w:pPr>
              <w:ind w:firstLine="0" w:firstLineChars="0"/>
              <w:jc w:val="center"/>
              <w:rPr>
                <w:rFonts w:ascii="宋体" w:hAnsi="宋体" w:cs="宋体"/>
                <w:color w:val="auto"/>
                <w:szCs w:val="21"/>
                <w:highlight w:val="none"/>
              </w:rPr>
            </w:pPr>
          </w:p>
        </w:tc>
      </w:tr>
      <w:tr w14:paraId="6C08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3A2EE5D">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成立时间</w:t>
            </w:r>
          </w:p>
        </w:tc>
        <w:tc>
          <w:tcPr>
            <w:tcW w:w="2478" w:type="dxa"/>
            <w:gridSpan w:val="3"/>
            <w:vAlign w:val="center"/>
          </w:tcPr>
          <w:p w14:paraId="731C9E39">
            <w:pPr>
              <w:ind w:firstLine="0" w:firstLineChars="0"/>
              <w:jc w:val="center"/>
              <w:rPr>
                <w:rFonts w:ascii="宋体" w:hAnsi="宋体" w:cs="宋体"/>
                <w:color w:val="auto"/>
                <w:szCs w:val="21"/>
                <w:highlight w:val="none"/>
              </w:rPr>
            </w:pPr>
          </w:p>
        </w:tc>
        <w:tc>
          <w:tcPr>
            <w:tcW w:w="4824" w:type="dxa"/>
            <w:gridSpan w:val="6"/>
            <w:vAlign w:val="center"/>
          </w:tcPr>
          <w:p w14:paraId="05D1DAB0">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员工总人数：</w:t>
            </w:r>
          </w:p>
        </w:tc>
      </w:tr>
      <w:tr w14:paraId="581C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1F730D9F">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营业执照号</w:t>
            </w:r>
          </w:p>
        </w:tc>
        <w:tc>
          <w:tcPr>
            <w:tcW w:w="2478" w:type="dxa"/>
            <w:gridSpan w:val="3"/>
            <w:vAlign w:val="center"/>
          </w:tcPr>
          <w:p w14:paraId="2BEA3404">
            <w:pPr>
              <w:ind w:firstLine="0" w:firstLineChars="0"/>
              <w:jc w:val="center"/>
              <w:rPr>
                <w:rFonts w:ascii="宋体" w:hAnsi="宋体" w:cs="宋体"/>
                <w:color w:val="auto"/>
                <w:szCs w:val="21"/>
                <w:highlight w:val="none"/>
              </w:rPr>
            </w:pPr>
          </w:p>
        </w:tc>
        <w:tc>
          <w:tcPr>
            <w:tcW w:w="1169" w:type="dxa"/>
            <w:vMerge w:val="restart"/>
            <w:vAlign w:val="center"/>
          </w:tcPr>
          <w:p w14:paraId="1C0C2DCE">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其中</w:t>
            </w:r>
          </w:p>
        </w:tc>
        <w:tc>
          <w:tcPr>
            <w:tcW w:w="1954" w:type="dxa"/>
            <w:gridSpan w:val="3"/>
            <w:vAlign w:val="center"/>
          </w:tcPr>
          <w:p w14:paraId="5144D21C">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高级职称人员</w:t>
            </w:r>
          </w:p>
        </w:tc>
        <w:tc>
          <w:tcPr>
            <w:tcW w:w="1701" w:type="dxa"/>
            <w:gridSpan w:val="2"/>
            <w:vAlign w:val="center"/>
          </w:tcPr>
          <w:p w14:paraId="4F92AA51">
            <w:pPr>
              <w:ind w:firstLine="0" w:firstLineChars="0"/>
              <w:jc w:val="center"/>
              <w:rPr>
                <w:rFonts w:ascii="宋体" w:hAnsi="宋体" w:cs="宋体"/>
                <w:color w:val="auto"/>
                <w:szCs w:val="21"/>
                <w:highlight w:val="none"/>
              </w:rPr>
            </w:pPr>
          </w:p>
        </w:tc>
      </w:tr>
      <w:tr w14:paraId="6201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02B8E403">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注册资金</w:t>
            </w:r>
          </w:p>
        </w:tc>
        <w:tc>
          <w:tcPr>
            <w:tcW w:w="2478" w:type="dxa"/>
            <w:gridSpan w:val="3"/>
            <w:vAlign w:val="center"/>
          </w:tcPr>
          <w:p w14:paraId="05F27356">
            <w:pPr>
              <w:ind w:firstLine="0" w:firstLineChars="0"/>
              <w:jc w:val="center"/>
              <w:rPr>
                <w:rFonts w:ascii="宋体" w:hAnsi="宋体" w:cs="宋体"/>
                <w:color w:val="auto"/>
                <w:szCs w:val="21"/>
                <w:highlight w:val="none"/>
              </w:rPr>
            </w:pPr>
          </w:p>
        </w:tc>
        <w:tc>
          <w:tcPr>
            <w:tcW w:w="1169" w:type="dxa"/>
            <w:vMerge w:val="continue"/>
            <w:vAlign w:val="center"/>
          </w:tcPr>
          <w:p w14:paraId="21880D7D">
            <w:pPr>
              <w:ind w:firstLine="0" w:firstLineChars="0"/>
              <w:jc w:val="center"/>
              <w:rPr>
                <w:rFonts w:ascii="宋体" w:hAnsi="宋体" w:cs="宋体"/>
                <w:color w:val="auto"/>
                <w:szCs w:val="21"/>
                <w:highlight w:val="none"/>
              </w:rPr>
            </w:pPr>
          </w:p>
        </w:tc>
        <w:tc>
          <w:tcPr>
            <w:tcW w:w="1954" w:type="dxa"/>
            <w:gridSpan w:val="3"/>
            <w:vAlign w:val="center"/>
          </w:tcPr>
          <w:p w14:paraId="2285CD50">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中级职称人员</w:t>
            </w:r>
          </w:p>
        </w:tc>
        <w:tc>
          <w:tcPr>
            <w:tcW w:w="1701" w:type="dxa"/>
            <w:gridSpan w:val="2"/>
            <w:vAlign w:val="center"/>
          </w:tcPr>
          <w:p w14:paraId="0FD0D2BE">
            <w:pPr>
              <w:ind w:firstLine="0" w:firstLineChars="0"/>
              <w:jc w:val="center"/>
              <w:rPr>
                <w:rFonts w:ascii="宋体" w:hAnsi="宋体" w:cs="宋体"/>
                <w:color w:val="auto"/>
                <w:szCs w:val="21"/>
                <w:highlight w:val="none"/>
              </w:rPr>
            </w:pPr>
          </w:p>
        </w:tc>
      </w:tr>
      <w:tr w14:paraId="457D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FB93767">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开户银行</w:t>
            </w:r>
          </w:p>
        </w:tc>
        <w:tc>
          <w:tcPr>
            <w:tcW w:w="2478" w:type="dxa"/>
            <w:gridSpan w:val="3"/>
            <w:vAlign w:val="center"/>
          </w:tcPr>
          <w:p w14:paraId="1D2F86E5">
            <w:pPr>
              <w:ind w:firstLine="0" w:firstLineChars="0"/>
              <w:jc w:val="center"/>
              <w:rPr>
                <w:rFonts w:ascii="宋体" w:hAnsi="宋体" w:cs="宋体"/>
                <w:color w:val="auto"/>
                <w:szCs w:val="21"/>
                <w:highlight w:val="none"/>
              </w:rPr>
            </w:pPr>
          </w:p>
        </w:tc>
        <w:tc>
          <w:tcPr>
            <w:tcW w:w="1169" w:type="dxa"/>
            <w:vMerge w:val="continue"/>
            <w:vAlign w:val="center"/>
          </w:tcPr>
          <w:p w14:paraId="037AFE02">
            <w:pPr>
              <w:ind w:firstLine="0" w:firstLineChars="0"/>
              <w:jc w:val="center"/>
              <w:rPr>
                <w:rFonts w:ascii="宋体" w:hAnsi="宋体" w:cs="宋体"/>
                <w:color w:val="auto"/>
                <w:szCs w:val="21"/>
                <w:highlight w:val="none"/>
              </w:rPr>
            </w:pPr>
          </w:p>
        </w:tc>
        <w:tc>
          <w:tcPr>
            <w:tcW w:w="1954" w:type="dxa"/>
            <w:gridSpan w:val="3"/>
            <w:vAlign w:val="center"/>
          </w:tcPr>
          <w:p w14:paraId="2816A989">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初级职称人员</w:t>
            </w:r>
          </w:p>
        </w:tc>
        <w:tc>
          <w:tcPr>
            <w:tcW w:w="1701" w:type="dxa"/>
            <w:gridSpan w:val="2"/>
            <w:vAlign w:val="center"/>
          </w:tcPr>
          <w:p w14:paraId="63731D95">
            <w:pPr>
              <w:ind w:firstLine="0" w:firstLineChars="0"/>
              <w:jc w:val="center"/>
              <w:rPr>
                <w:rFonts w:ascii="宋体" w:hAnsi="宋体" w:cs="宋体"/>
                <w:color w:val="auto"/>
                <w:szCs w:val="21"/>
                <w:highlight w:val="none"/>
              </w:rPr>
            </w:pPr>
          </w:p>
        </w:tc>
      </w:tr>
      <w:tr w14:paraId="727D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26F80FD0">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账号</w:t>
            </w:r>
          </w:p>
        </w:tc>
        <w:tc>
          <w:tcPr>
            <w:tcW w:w="2478" w:type="dxa"/>
            <w:gridSpan w:val="3"/>
            <w:vAlign w:val="center"/>
          </w:tcPr>
          <w:p w14:paraId="00854BAE">
            <w:pPr>
              <w:ind w:firstLine="0" w:firstLineChars="0"/>
              <w:rPr>
                <w:rFonts w:ascii="宋体" w:hAnsi="宋体" w:cs="宋体"/>
                <w:color w:val="auto"/>
                <w:szCs w:val="21"/>
                <w:highlight w:val="none"/>
              </w:rPr>
            </w:pPr>
          </w:p>
        </w:tc>
        <w:tc>
          <w:tcPr>
            <w:tcW w:w="1169" w:type="dxa"/>
            <w:vMerge w:val="continue"/>
            <w:vAlign w:val="center"/>
          </w:tcPr>
          <w:p w14:paraId="3C13B2B3">
            <w:pPr>
              <w:ind w:firstLine="0" w:firstLineChars="0"/>
              <w:jc w:val="center"/>
              <w:rPr>
                <w:rFonts w:ascii="宋体" w:hAnsi="宋体" w:cs="宋体"/>
                <w:color w:val="auto"/>
                <w:szCs w:val="21"/>
                <w:highlight w:val="none"/>
              </w:rPr>
            </w:pPr>
          </w:p>
        </w:tc>
        <w:tc>
          <w:tcPr>
            <w:tcW w:w="1954" w:type="dxa"/>
            <w:gridSpan w:val="3"/>
            <w:vAlign w:val="center"/>
          </w:tcPr>
          <w:p w14:paraId="7B9FC4D8">
            <w:pPr>
              <w:ind w:firstLine="0" w:firstLineChars="0"/>
              <w:jc w:val="center"/>
              <w:rPr>
                <w:rFonts w:ascii="宋体" w:hAnsi="宋体" w:cs="宋体"/>
                <w:color w:val="auto"/>
                <w:szCs w:val="21"/>
                <w:highlight w:val="none"/>
              </w:rPr>
            </w:pPr>
          </w:p>
        </w:tc>
        <w:tc>
          <w:tcPr>
            <w:tcW w:w="1701" w:type="dxa"/>
            <w:gridSpan w:val="2"/>
            <w:vAlign w:val="center"/>
          </w:tcPr>
          <w:p w14:paraId="78547D32">
            <w:pPr>
              <w:ind w:firstLine="0" w:firstLineChars="0"/>
              <w:jc w:val="center"/>
              <w:rPr>
                <w:rFonts w:ascii="宋体" w:hAnsi="宋体" w:cs="宋体"/>
                <w:color w:val="auto"/>
                <w:szCs w:val="21"/>
                <w:highlight w:val="none"/>
              </w:rPr>
            </w:pPr>
          </w:p>
        </w:tc>
      </w:tr>
      <w:tr w14:paraId="58A8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771" w:type="dxa"/>
            <w:vAlign w:val="center"/>
          </w:tcPr>
          <w:p w14:paraId="5D8AF42D">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经营范围</w:t>
            </w:r>
          </w:p>
        </w:tc>
        <w:tc>
          <w:tcPr>
            <w:tcW w:w="7302" w:type="dxa"/>
            <w:gridSpan w:val="9"/>
            <w:vAlign w:val="center"/>
          </w:tcPr>
          <w:p w14:paraId="1435110E">
            <w:pPr>
              <w:ind w:firstLine="0" w:firstLineChars="0"/>
              <w:rPr>
                <w:rFonts w:ascii="宋体" w:hAnsi="宋体" w:cs="宋体"/>
                <w:color w:val="auto"/>
                <w:szCs w:val="21"/>
                <w:highlight w:val="none"/>
              </w:rPr>
            </w:pPr>
          </w:p>
        </w:tc>
      </w:tr>
      <w:tr w14:paraId="5E48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trPr>
        <w:tc>
          <w:tcPr>
            <w:tcW w:w="1771" w:type="dxa"/>
            <w:vAlign w:val="center"/>
          </w:tcPr>
          <w:p w14:paraId="4201606D">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财务状况</w:t>
            </w:r>
          </w:p>
        </w:tc>
        <w:tc>
          <w:tcPr>
            <w:tcW w:w="7302" w:type="dxa"/>
            <w:gridSpan w:val="9"/>
            <w:vAlign w:val="center"/>
          </w:tcPr>
          <w:p w14:paraId="1177FC3C">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1、XXXX年-XXXX年的资产负债情况：</w:t>
            </w:r>
          </w:p>
          <w:p w14:paraId="4FACE3C0">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（1）固定资产________________________</w:t>
            </w:r>
          </w:p>
          <w:p w14:paraId="08C01A49">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（2）流动资产________________________</w:t>
            </w:r>
          </w:p>
          <w:p w14:paraId="38C91D6D">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2、投标人XXXX年到XXXX年两年的经会计师事务所审计的年度财务报表，包括资产负债表，现金流量表及损益表。</w:t>
            </w:r>
          </w:p>
          <w:p w14:paraId="407C41B9">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（1）营业收入________________________</w:t>
            </w:r>
          </w:p>
          <w:p w14:paraId="029A5D90">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（2）营业利润________________________</w:t>
            </w:r>
          </w:p>
          <w:p w14:paraId="5C6EF5BD">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（3）利润总额________________________</w:t>
            </w:r>
          </w:p>
          <w:p w14:paraId="03352BF0">
            <w:pPr>
              <w:ind w:left="-34" w:leftChars="-16" w:firstLine="0" w:firstLineChars="0"/>
              <w:rPr>
                <w:rFonts w:ascii="宋体" w:hAnsi="宋体" w:cs="宋体"/>
                <w:color w:val="auto"/>
                <w:szCs w:val="21"/>
                <w:highlight w:val="none"/>
              </w:rPr>
            </w:pPr>
            <w:r>
              <w:rPr>
                <w:rFonts w:hint="eastAsia" w:ascii="宋体" w:hAnsi="宋体" w:cs="宋体"/>
                <w:color w:val="auto"/>
                <w:szCs w:val="21"/>
                <w:highlight w:val="none"/>
              </w:rPr>
              <w:t>（4）净利润______________________</w:t>
            </w:r>
          </w:p>
        </w:tc>
      </w:tr>
      <w:tr w14:paraId="2A48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771" w:type="dxa"/>
            <w:vAlign w:val="center"/>
          </w:tcPr>
          <w:p w14:paraId="27A510F0">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7302" w:type="dxa"/>
            <w:gridSpan w:val="9"/>
            <w:vAlign w:val="center"/>
          </w:tcPr>
          <w:p w14:paraId="6A855193">
            <w:pPr>
              <w:ind w:firstLine="0" w:firstLineChars="0"/>
              <w:jc w:val="left"/>
              <w:rPr>
                <w:rFonts w:ascii="宋体" w:hAnsi="宋体" w:cs="宋体"/>
                <w:b/>
                <w:color w:val="auto"/>
                <w:szCs w:val="21"/>
                <w:highlight w:val="none"/>
              </w:rPr>
            </w:pPr>
          </w:p>
        </w:tc>
      </w:tr>
    </w:tbl>
    <w:p w14:paraId="40E53F01">
      <w:pPr>
        <w:pStyle w:val="40"/>
        <w:ind w:left="0" w:leftChars="0" w:firstLine="0" w:firstLineChars="0"/>
        <w:rPr>
          <w:rFonts w:hint="default" w:hAnsi="宋体"/>
          <w:color w:val="auto"/>
          <w:szCs w:val="21"/>
          <w:highlight w:val="none"/>
        </w:rPr>
      </w:pPr>
    </w:p>
    <w:p w14:paraId="7D101545">
      <w:pPr>
        <w:ind w:firstLine="420"/>
        <w:rPr>
          <w:rFonts w:ascii="宋体" w:hAnsi="宋体" w:cs="宋体"/>
          <w:color w:val="auto"/>
          <w:highlight w:val="none"/>
        </w:rPr>
      </w:pPr>
    </w:p>
    <w:p w14:paraId="34AB982E">
      <w:pPr>
        <w:pStyle w:val="4"/>
        <w:ind w:firstLine="0" w:firstLineChars="0"/>
        <w:rPr>
          <w:rFonts w:ascii="宋体" w:hAnsi="宋体" w:cs="宋体"/>
          <w:color w:val="auto"/>
          <w:highlight w:val="none"/>
        </w:rPr>
      </w:pPr>
      <w:r>
        <w:rPr>
          <w:rFonts w:hint="eastAsia" w:ascii="宋体" w:hAnsi="宋体" w:cs="宋体"/>
          <w:color w:val="auto"/>
          <w:highlight w:val="none"/>
        </w:rPr>
        <w:br w:type="page"/>
      </w:r>
      <w:bookmarkStart w:id="41" w:name="_Toc14111"/>
      <w:bookmarkStart w:id="42" w:name="_Toc9870"/>
      <w:r>
        <w:rPr>
          <w:rFonts w:hint="eastAsia" w:ascii="宋体" w:hAnsi="宋体" w:cs="宋体"/>
          <w:color w:val="auto"/>
          <w:highlight w:val="none"/>
        </w:rPr>
        <w:t>5. 投标人信用查询</w:t>
      </w:r>
      <w:bookmarkEnd w:id="41"/>
      <w:bookmarkEnd w:id="42"/>
    </w:p>
    <w:p w14:paraId="17DB58BD">
      <w:pPr>
        <w:ind w:firstLine="420"/>
        <w:rPr>
          <w:rFonts w:ascii="宋体" w:hAnsi="宋体" w:cs="宋体"/>
          <w:snapToGrid w:val="0"/>
          <w:color w:val="auto"/>
          <w:szCs w:val="21"/>
          <w:highlight w:val="none"/>
        </w:rPr>
      </w:pPr>
      <w:r>
        <w:rPr>
          <w:rFonts w:hint="eastAsia" w:ascii="宋体" w:hAnsi="宋体" w:cs="宋体"/>
          <w:snapToGrid w:val="0"/>
          <w:color w:val="auto"/>
          <w:szCs w:val="21"/>
          <w:highlight w:val="none"/>
        </w:rPr>
        <w:t>投标人未被列入失信被执行人名单、重大税收违法案件当事人名单、政府采购严重违法失信行为记录名单，信用信息以信用中国网站（www.creditchina.gov.cn）、中国政府采购网（www.ccgp.gov.cn）公布为准。</w:t>
      </w:r>
    </w:p>
    <w:p w14:paraId="66FACC5F">
      <w:pPr>
        <w:ind w:firstLine="422"/>
        <w:rPr>
          <w:rFonts w:ascii="宋体" w:hAnsi="宋体" w:cs="宋体"/>
          <w:b/>
          <w:color w:val="auto"/>
          <w:szCs w:val="21"/>
          <w:highlight w:val="none"/>
        </w:rPr>
      </w:pPr>
      <w:r>
        <w:rPr>
          <w:rFonts w:hint="eastAsia" w:ascii="宋体" w:hAnsi="宋体" w:cs="宋体"/>
          <w:b/>
          <w:color w:val="auto"/>
          <w:szCs w:val="21"/>
          <w:highlight w:val="none"/>
        </w:rPr>
        <w:t>说明：提供查询截图。</w:t>
      </w:r>
    </w:p>
    <w:p w14:paraId="6FBCC242">
      <w:pPr>
        <w:ind w:firstLine="420"/>
        <w:rPr>
          <w:rFonts w:ascii="宋体" w:hAnsi="宋体" w:cs="宋体"/>
          <w:color w:val="auto"/>
          <w:szCs w:val="21"/>
          <w:highlight w:val="none"/>
          <w:lang w:val="zh-CN"/>
        </w:rPr>
      </w:pPr>
    </w:p>
    <w:p w14:paraId="71EEC080">
      <w:pPr>
        <w:ind w:firstLine="420"/>
        <w:rPr>
          <w:rFonts w:ascii="宋体" w:hAnsi="宋体" w:cs="宋体"/>
          <w:color w:val="auto"/>
          <w:szCs w:val="21"/>
          <w:highlight w:val="none"/>
          <w:lang w:val="zh-CN"/>
        </w:rPr>
      </w:pPr>
    </w:p>
    <w:p w14:paraId="36E16BEF">
      <w:pPr>
        <w:ind w:firstLine="420"/>
        <w:rPr>
          <w:rFonts w:ascii="宋体" w:hAnsi="宋体" w:cs="宋体"/>
          <w:color w:val="auto"/>
          <w:highlight w:val="none"/>
          <w:lang w:val="zh-CN"/>
        </w:rPr>
      </w:pPr>
    </w:p>
    <w:p w14:paraId="65CA62CC">
      <w:pPr>
        <w:ind w:firstLine="420"/>
        <w:rPr>
          <w:rFonts w:ascii="宋体" w:hAnsi="宋体" w:cs="宋体"/>
          <w:color w:val="auto"/>
          <w:highlight w:val="none"/>
          <w:lang w:val="zh-CN"/>
        </w:rPr>
      </w:pPr>
    </w:p>
    <w:p w14:paraId="6EBF8DB7">
      <w:pPr>
        <w:ind w:firstLine="420"/>
        <w:rPr>
          <w:rFonts w:ascii="宋体" w:hAnsi="宋体" w:cs="宋体"/>
          <w:color w:val="auto"/>
          <w:highlight w:val="none"/>
          <w:lang w:val="zh-CN"/>
        </w:rPr>
      </w:pPr>
    </w:p>
    <w:p w14:paraId="29E3C8D2">
      <w:pPr>
        <w:pStyle w:val="4"/>
        <w:ind w:firstLine="0" w:firstLineChars="0"/>
        <w:rPr>
          <w:rFonts w:ascii="宋体" w:hAnsi="宋体" w:cs="宋体"/>
          <w:color w:val="auto"/>
          <w:highlight w:val="none"/>
        </w:rPr>
      </w:pPr>
      <w:r>
        <w:rPr>
          <w:rFonts w:hint="eastAsia" w:ascii="宋体" w:hAnsi="宋体" w:cs="宋体"/>
          <w:color w:val="auto"/>
          <w:highlight w:val="none"/>
          <w:lang w:val="zh-CN"/>
        </w:rPr>
        <w:br w:type="page"/>
      </w:r>
      <w:r>
        <w:rPr>
          <w:rFonts w:hint="eastAsia" w:ascii="宋体" w:hAnsi="宋体" w:cs="宋体"/>
          <w:color w:val="auto"/>
          <w:highlight w:val="none"/>
        </w:rPr>
        <w:t>6. 制造商承诺函（投标人为本项目所采购产品制造商时提供，格式仅供参考）</w:t>
      </w:r>
    </w:p>
    <w:p w14:paraId="6BAFA152">
      <w:pPr>
        <w:widowControl/>
        <w:spacing w:before="312" w:beforeLines="100" w:after="312" w:afterLines="100"/>
        <w:ind w:firstLine="422"/>
        <w:jc w:val="center"/>
        <w:rPr>
          <w:rFonts w:ascii="宋体" w:hAnsi="宋体"/>
          <w:b/>
          <w:color w:val="auto"/>
          <w:szCs w:val="21"/>
          <w:highlight w:val="none"/>
        </w:rPr>
      </w:pPr>
      <w:r>
        <w:rPr>
          <w:rFonts w:hint="eastAsia" w:ascii="宋体" w:hAnsi="宋体"/>
          <w:b/>
          <w:color w:val="auto"/>
          <w:szCs w:val="21"/>
          <w:highlight w:val="none"/>
        </w:rPr>
        <w:t>制造商承诺函</w:t>
      </w:r>
    </w:p>
    <w:p w14:paraId="57EF32E2">
      <w:pPr>
        <w:ind w:firstLine="420"/>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（招标人） </w:t>
      </w:r>
    </w:p>
    <w:p w14:paraId="66253DC2">
      <w:pPr>
        <w:ind w:firstLine="420"/>
        <w:rPr>
          <w:rFonts w:ascii="宋体" w:hAnsi="宋体" w:cs="宋体"/>
          <w:color w:val="auto"/>
          <w:highlight w:val="none"/>
        </w:rPr>
      </w:pPr>
      <w:r>
        <w:rPr>
          <w:rFonts w:hint="eastAsia" w:ascii="宋体" w:hAnsi="宋体" w:cs="宋体"/>
          <w:color w:val="auto"/>
          <w:highlight w:val="none"/>
        </w:rPr>
        <w:t>我公司为贵公司</w:t>
      </w:r>
      <w:bookmarkStart w:id="43" w:name="OLE_LINK31"/>
      <w:bookmarkStart w:id="44" w:name="OLE_LINK33"/>
      <w:bookmarkStart w:id="45" w:name="OLE_LINK32"/>
      <w:r>
        <w:rPr>
          <w:rFonts w:hint="eastAsia" w:ascii="宋体" w:hAnsi="宋体" w:cs="宋体"/>
          <w:color w:val="auto"/>
          <w:highlight w:val="none"/>
          <w:u w:val="single"/>
        </w:rPr>
        <w:t xml:space="preserve">         （项目名称、项目编号）</w:t>
      </w:r>
      <w:bookmarkEnd w:id="43"/>
      <w:bookmarkEnd w:id="44"/>
      <w:bookmarkEnd w:id="45"/>
      <w:r>
        <w:rPr>
          <w:rFonts w:hint="eastAsia" w:ascii="宋体" w:hAnsi="宋体" w:cs="宋体"/>
          <w:color w:val="auto"/>
          <w:highlight w:val="none"/>
        </w:rPr>
        <w:t>的投标人，我公司作出如下承诺：</w:t>
      </w:r>
    </w:p>
    <w:p w14:paraId="0A69502E">
      <w:pPr>
        <w:numPr>
          <w:ilvl w:val="0"/>
          <w:numId w:val="3"/>
        </w:numPr>
        <w:ind w:firstLine="420"/>
        <w:rPr>
          <w:rFonts w:ascii="宋体" w:hAnsi="宋体" w:cs="宋体"/>
          <w:color w:val="auto"/>
          <w:highlight w:val="none"/>
        </w:rPr>
      </w:pPr>
      <w:r>
        <w:rPr>
          <w:rFonts w:hint="eastAsia" w:ascii="宋体" w:hAnsi="宋体" w:cs="宋体"/>
          <w:color w:val="auto"/>
          <w:highlight w:val="none"/>
        </w:rPr>
        <w:t>我公司为本项目所采购产品：</w:t>
      </w:r>
      <w:r>
        <w:rPr>
          <w:rFonts w:hint="eastAsia" w:ascii="宋体" w:hAnsi="宋体" w:cs="宋体"/>
          <w:color w:val="auto"/>
          <w:highlight w:val="none"/>
          <w:u w:val="single"/>
        </w:rPr>
        <w:t xml:space="preserve">         </w:t>
      </w:r>
      <w:r>
        <w:rPr>
          <w:rFonts w:hint="eastAsia" w:ascii="宋体" w:hAnsi="宋体" w:cs="宋体"/>
          <w:color w:val="auto"/>
          <w:highlight w:val="none"/>
        </w:rPr>
        <w:t>的制造商,我司承诺本次</w:t>
      </w:r>
      <w:bookmarkStart w:id="46" w:name="OLE_LINK51"/>
      <w:bookmarkStart w:id="47" w:name="OLE_LINK50"/>
      <w:r>
        <w:rPr>
          <w:rFonts w:hint="eastAsia" w:ascii="宋体" w:hAnsi="宋体" w:cs="宋体"/>
          <w:color w:val="auto"/>
          <w:highlight w:val="none"/>
        </w:rPr>
        <w:t>投标的</w:t>
      </w:r>
      <w:bookmarkEnd w:id="46"/>
      <w:bookmarkEnd w:id="47"/>
      <w:r>
        <w:rPr>
          <w:rFonts w:hint="eastAsia" w:ascii="宋体" w:hAnsi="宋体" w:cs="宋体"/>
          <w:color w:val="auto"/>
          <w:highlight w:val="none"/>
          <w:u w:val="single"/>
        </w:rPr>
        <w:t xml:space="preserve">        </w:t>
      </w:r>
      <w:r>
        <w:rPr>
          <w:rFonts w:hint="eastAsia" w:ascii="宋体" w:hAnsi="宋体" w:cs="宋体"/>
          <w:color w:val="auto"/>
          <w:highlight w:val="none"/>
        </w:rPr>
        <w:t>产品为我方制造。</w:t>
      </w:r>
    </w:p>
    <w:p w14:paraId="09A6788B">
      <w:pPr>
        <w:ind w:firstLine="420"/>
        <w:rPr>
          <w:color w:val="auto"/>
          <w:highlight w:val="none"/>
        </w:rPr>
      </w:pPr>
      <w:r>
        <w:rPr>
          <w:rFonts w:hint="eastAsia" w:ascii="宋体" w:hAnsi="宋体" w:cs="宋体"/>
          <w:color w:val="auto"/>
          <w:highlight w:val="none"/>
        </w:rPr>
        <w:t>2、我方具有具有履行合同所必需的能力，具有完成本次招标项目的能力。</w:t>
      </w:r>
    </w:p>
    <w:p w14:paraId="32BD245F">
      <w:pPr>
        <w:ind w:firstLine="420"/>
        <w:rPr>
          <w:rFonts w:ascii="宋体" w:hAnsi="宋体" w:cs="宋体"/>
          <w:color w:val="auto"/>
          <w:highlight w:val="none"/>
        </w:rPr>
      </w:pPr>
      <w:r>
        <w:rPr>
          <w:rFonts w:hint="eastAsia" w:ascii="宋体" w:hAnsi="宋体" w:cs="宋体"/>
          <w:color w:val="auto"/>
          <w:highlight w:val="none"/>
        </w:rPr>
        <w:t>3、保修期内，我方认真履行售后服务内容。如物资设备在使用过程中出现质量问题，我方免费提供维修或提供同等及以上性能的物资设备进行替换。</w:t>
      </w:r>
    </w:p>
    <w:p w14:paraId="7051E5D8">
      <w:pPr>
        <w:ind w:firstLine="420"/>
        <w:rPr>
          <w:rFonts w:ascii="宋体" w:hAnsi="宋体" w:cs="宋体"/>
          <w:color w:val="auto"/>
          <w:highlight w:val="none"/>
        </w:rPr>
      </w:pPr>
      <w:r>
        <w:rPr>
          <w:rFonts w:hint="eastAsia" w:ascii="宋体" w:hAnsi="宋体" w:cs="宋体"/>
          <w:color w:val="auto"/>
          <w:highlight w:val="none"/>
        </w:rPr>
        <w:t>4、我公司对投标产品所涉及的专利承担责任，并负责保护招标人的利益不受任何损害。若中标后产生的一切产权纠纷由我公司负责，并赔偿贵公司就此所承担的一切费用，我司对此无异议。</w:t>
      </w:r>
    </w:p>
    <w:p w14:paraId="115021CD">
      <w:pPr>
        <w:ind w:firstLine="420"/>
        <w:rPr>
          <w:rFonts w:ascii="宋体" w:hAnsi="宋体" w:cs="宋体"/>
          <w:color w:val="auto"/>
          <w:highlight w:val="none"/>
        </w:rPr>
      </w:pPr>
      <w:r>
        <w:rPr>
          <w:rFonts w:hint="eastAsia" w:ascii="宋体" w:hAnsi="宋体" w:cs="宋体"/>
          <w:color w:val="auto"/>
          <w:highlight w:val="none"/>
        </w:rPr>
        <w:t>特此承诺！</w:t>
      </w:r>
    </w:p>
    <w:p w14:paraId="72E2949C">
      <w:pPr>
        <w:ind w:firstLine="420"/>
        <w:rPr>
          <w:rFonts w:ascii="宋体" w:hAnsi="宋体" w:cs="宋体"/>
          <w:color w:val="auto"/>
          <w:highlight w:val="none"/>
        </w:rPr>
      </w:pPr>
    </w:p>
    <w:p w14:paraId="1FCD5785">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1681EB36">
      <w:pPr>
        <w:ind w:firstLine="420"/>
        <w:rPr>
          <w:rFonts w:ascii="宋体" w:hAnsi="宋体" w:cs="宋体"/>
          <w:color w:val="auto"/>
          <w:highlight w:val="none"/>
        </w:rPr>
      </w:pPr>
      <w:r>
        <w:rPr>
          <w:rFonts w:hint="eastAsia" w:ascii="宋体" w:hAnsi="宋体" w:cs="宋体"/>
          <w:color w:val="auto"/>
          <w:highlight w:val="none"/>
        </w:rPr>
        <w:t>投标人名称（盖章）：</w:t>
      </w:r>
    </w:p>
    <w:p w14:paraId="03092D7C">
      <w:pPr>
        <w:ind w:firstLine="420"/>
        <w:jc w:val="right"/>
        <w:rPr>
          <w:rFonts w:ascii="宋体" w:hAnsi="宋体" w:cs="宋体"/>
          <w:color w:val="auto"/>
          <w:highlight w:val="none"/>
        </w:rPr>
      </w:pPr>
      <w:r>
        <w:rPr>
          <w:rFonts w:hint="eastAsia" w:ascii="宋体" w:hAnsi="宋体" w:cs="宋体"/>
          <w:color w:val="auto"/>
          <w:highlight w:val="none"/>
        </w:rPr>
        <w:t>日期：  年   月   日</w:t>
      </w:r>
    </w:p>
    <w:p w14:paraId="594D5562">
      <w:pPr>
        <w:pStyle w:val="4"/>
        <w:spacing w:line="240" w:lineRule="auto"/>
        <w:ind w:firstLine="422"/>
        <w:rPr>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7. 制造商出具的代理授权书（投标人为本项目所采购产品代理商时提供，格式自拟）</w:t>
      </w:r>
    </w:p>
    <w:p w14:paraId="65605437">
      <w:pPr>
        <w:ind w:firstLine="420"/>
        <w:rPr>
          <w:rFonts w:ascii="宋体" w:hAnsi="宋体" w:cs="宋体"/>
          <w:color w:val="auto"/>
          <w:szCs w:val="21"/>
          <w:highlight w:val="none"/>
          <w:lang w:val="zh-CN"/>
        </w:rPr>
      </w:pPr>
    </w:p>
    <w:p w14:paraId="412F9081">
      <w:pPr>
        <w:ind w:firstLine="420"/>
        <w:rPr>
          <w:rFonts w:ascii="宋体" w:hAnsi="宋体" w:cs="宋体"/>
          <w:color w:val="auto"/>
          <w:szCs w:val="21"/>
          <w:highlight w:val="none"/>
          <w:lang w:val="zh-CN"/>
        </w:rPr>
      </w:pPr>
    </w:p>
    <w:p w14:paraId="192AD6C5">
      <w:pPr>
        <w:ind w:firstLine="420"/>
        <w:rPr>
          <w:rFonts w:ascii="宋体" w:hAnsi="宋体" w:cs="宋体"/>
          <w:color w:val="auto"/>
          <w:highlight w:val="none"/>
          <w:lang w:val="zh-CN"/>
        </w:rPr>
      </w:pPr>
    </w:p>
    <w:p w14:paraId="4ECF63B7">
      <w:pPr>
        <w:ind w:firstLine="420"/>
        <w:rPr>
          <w:rFonts w:ascii="宋体" w:hAnsi="宋体" w:cs="宋体"/>
          <w:color w:val="auto"/>
          <w:highlight w:val="none"/>
          <w:lang w:val="zh-CN"/>
        </w:rPr>
      </w:pPr>
    </w:p>
    <w:p w14:paraId="4BF913FD">
      <w:pPr>
        <w:ind w:firstLine="420"/>
        <w:rPr>
          <w:rFonts w:ascii="宋体" w:hAnsi="宋体" w:cs="宋体"/>
          <w:color w:val="auto"/>
          <w:highlight w:val="none"/>
          <w:lang w:val="zh-CN"/>
        </w:rPr>
      </w:pPr>
    </w:p>
    <w:p w14:paraId="308FE290">
      <w:pPr>
        <w:pStyle w:val="4"/>
        <w:ind w:firstLine="0" w:firstLineChars="0"/>
        <w:rPr>
          <w:rFonts w:ascii="宋体" w:hAnsi="宋体" w:cs="宋体"/>
          <w:color w:val="auto"/>
          <w:highlight w:val="none"/>
        </w:rPr>
      </w:pPr>
      <w:r>
        <w:rPr>
          <w:rFonts w:hint="eastAsia" w:ascii="宋体" w:hAnsi="宋体" w:cs="宋体"/>
          <w:color w:val="auto"/>
          <w:highlight w:val="none"/>
          <w:lang w:val="zh-CN"/>
        </w:rPr>
        <w:br w:type="page"/>
      </w:r>
      <w:r>
        <w:rPr>
          <w:rFonts w:hint="eastAsia" w:ascii="宋体" w:hAnsi="宋体" w:cs="宋体"/>
          <w:color w:val="auto"/>
          <w:highlight w:val="none"/>
        </w:rPr>
        <w:t>8. 业绩</w:t>
      </w:r>
    </w:p>
    <w:p w14:paraId="350A8C9D">
      <w:pPr>
        <w:ind w:firstLine="420"/>
        <w:rPr>
          <w:rFonts w:ascii="宋体" w:hAnsi="宋体" w:cs="宋体"/>
          <w:snapToGrid w:val="0"/>
          <w:color w:val="auto"/>
          <w:szCs w:val="21"/>
          <w:highlight w:val="none"/>
        </w:rPr>
      </w:pPr>
      <w:r>
        <w:rPr>
          <w:rFonts w:hint="eastAsia" w:ascii="宋体" w:hAnsi="宋体" w:cs="宋体"/>
          <w:snapToGrid w:val="0"/>
          <w:color w:val="auto"/>
          <w:szCs w:val="21"/>
          <w:highlight w:val="none"/>
        </w:rPr>
        <w:t>投标人自2023年5月1日</w:t>
      </w:r>
      <w:r>
        <w:rPr>
          <w:rFonts w:hint="eastAsia" w:ascii="宋体" w:hAnsi="宋体" w:cs="宋体"/>
          <w:b/>
          <w:bCs/>
          <w:snapToGrid w:val="0"/>
          <w:color w:val="auto"/>
          <w:szCs w:val="21"/>
          <w:highlight w:val="none"/>
        </w:rPr>
        <w:t>以</w:t>
      </w:r>
      <w:r>
        <w:rPr>
          <w:rFonts w:hint="eastAsia" w:ascii="宋体" w:hAnsi="宋体" w:cs="宋体"/>
          <w:b/>
          <w:bCs/>
          <w:snapToGrid w:val="0"/>
          <w:color w:val="auto"/>
          <w:szCs w:val="21"/>
          <w:highlight w:val="none"/>
          <w:lang w:val="en-US" w:eastAsia="zh-CN"/>
        </w:rPr>
        <w:t>前</w:t>
      </w:r>
      <w:r>
        <w:rPr>
          <w:rFonts w:hint="eastAsia" w:ascii="宋体" w:hAnsi="宋体" w:cs="宋体"/>
          <w:snapToGrid w:val="0"/>
          <w:color w:val="auto"/>
          <w:szCs w:val="21"/>
          <w:highlight w:val="none"/>
        </w:rPr>
        <w:t>（以所提供的合同签订之日为准）具有</w:t>
      </w:r>
      <w:r>
        <w:rPr>
          <w:rFonts w:hint="eastAsia" w:ascii="宋体" w:hAnsi="宋体" w:cs="宋体"/>
          <w:b/>
          <w:bCs/>
          <w:snapToGrid w:val="0"/>
          <w:color w:val="auto"/>
          <w:szCs w:val="21"/>
          <w:highlight w:val="none"/>
        </w:rPr>
        <w:t>煤炭与铁矿制样设备成功投运的业绩</w:t>
      </w:r>
      <w:r>
        <w:rPr>
          <w:rFonts w:hint="eastAsia" w:ascii="宋体" w:hAnsi="宋体" w:cs="宋体"/>
          <w:snapToGrid w:val="0"/>
          <w:color w:val="auto"/>
          <w:szCs w:val="21"/>
          <w:highlight w:val="none"/>
        </w:rPr>
        <w:t>（制造商的业绩可作为其授权代理商的业绩，其中必须含锤式破碎机、联合制样机、制样粉碎机）。须提供①合同扫描件(包括合同首页、签字盖章页及能反映供货范围等相关合同内容的关键页)、②</w:t>
      </w:r>
      <w:r>
        <w:rPr>
          <w:rFonts w:hint="eastAsia" w:ascii="宋体" w:hAnsi="宋体" w:cs="宋体"/>
          <w:snapToGrid w:val="0"/>
          <w:color w:val="auto"/>
          <w:szCs w:val="21"/>
          <w:highlight w:val="none"/>
          <w:lang w:eastAsia="zh-CN"/>
        </w:rPr>
        <w:t>验收记录</w:t>
      </w:r>
      <w:r>
        <w:rPr>
          <w:rFonts w:hint="eastAsia" w:ascii="宋体" w:hAnsi="宋体" w:cs="宋体"/>
          <w:snapToGrid w:val="0"/>
          <w:color w:val="auto"/>
          <w:szCs w:val="21"/>
          <w:highlight w:val="none"/>
        </w:rPr>
        <w:t>、③结算发票扫描件，缺一不可并加盖投标人公章。</w:t>
      </w:r>
    </w:p>
    <w:p w14:paraId="40DA603E">
      <w:pPr>
        <w:ind w:firstLine="420"/>
        <w:rPr>
          <w:rFonts w:ascii="宋体" w:hAnsi="宋体" w:cs="宋体"/>
          <w:color w:val="auto"/>
          <w:szCs w:val="21"/>
          <w:highlight w:val="none"/>
          <w:lang w:val="zh-CN"/>
        </w:rPr>
      </w:pPr>
    </w:p>
    <w:p w14:paraId="66105DC3">
      <w:pPr>
        <w:ind w:firstLine="420"/>
        <w:rPr>
          <w:rFonts w:ascii="宋体" w:hAnsi="宋体" w:cs="宋体"/>
          <w:color w:val="auto"/>
          <w:highlight w:val="none"/>
          <w:lang w:val="zh-CN"/>
        </w:rPr>
      </w:pPr>
    </w:p>
    <w:p w14:paraId="02D3E600">
      <w:pPr>
        <w:ind w:firstLine="420"/>
        <w:rPr>
          <w:rFonts w:ascii="宋体" w:hAnsi="宋体" w:cs="宋体"/>
          <w:color w:val="auto"/>
          <w:highlight w:val="none"/>
          <w:lang w:val="zh-CN"/>
        </w:rPr>
      </w:pPr>
    </w:p>
    <w:p w14:paraId="752240AC">
      <w:pPr>
        <w:ind w:firstLine="420"/>
        <w:rPr>
          <w:rFonts w:ascii="宋体" w:hAnsi="宋体" w:cs="宋体"/>
          <w:color w:val="auto"/>
          <w:highlight w:val="none"/>
          <w:lang w:val="zh-CN"/>
        </w:rPr>
      </w:pPr>
    </w:p>
    <w:p w14:paraId="18FAFEEC">
      <w:pPr>
        <w:ind w:firstLine="420"/>
        <w:rPr>
          <w:rFonts w:ascii="宋体" w:hAnsi="宋体" w:cs="宋体"/>
          <w:color w:val="auto"/>
          <w:highlight w:val="none"/>
          <w:lang w:val="zh-CN"/>
        </w:rPr>
      </w:pPr>
      <w:r>
        <w:rPr>
          <w:rFonts w:hint="eastAsia" w:ascii="宋体" w:hAnsi="宋体" w:cs="宋体"/>
          <w:color w:val="auto"/>
          <w:highlight w:val="none"/>
          <w:lang w:val="zh-CN"/>
        </w:rPr>
        <w:br w:type="page"/>
      </w:r>
    </w:p>
    <w:p w14:paraId="43FF548C">
      <w:pPr>
        <w:pStyle w:val="4"/>
        <w:ind w:firstLine="0" w:firstLineChars="0"/>
        <w:rPr>
          <w:rFonts w:ascii="宋体" w:hAnsi="宋体" w:cs="宋体"/>
          <w:color w:val="auto"/>
          <w:highlight w:val="none"/>
        </w:rPr>
      </w:pPr>
      <w:r>
        <w:rPr>
          <w:rFonts w:hint="eastAsia" w:ascii="宋体" w:hAnsi="宋体" w:cs="宋体"/>
          <w:color w:val="auto"/>
          <w:highlight w:val="none"/>
        </w:rPr>
        <w:t>9. 招标文件要求的或投标人认为有必要提供的其他情况说明或资质证书（扫描件加盖公章）。</w:t>
      </w:r>
    </w:p>
    <w:p w14:paraId="0A7AC8AD">
      <w:pPr>
        <w:spacing w:before="156" w:beforeLines="50"/>
        <w:ind w:firstLine="420"/>
        <w:jc w:val="right"/>
        <w:rPr>
          <w:rFonts w:ascii="宋体" w:hAnsi="宋体" w:cs="宋体"/>
          <w:color w:val="auto"/>
          <w:highlight w:val="none"/>
        </w:rPr>
      </w:pPr>
    </w:p>
    <w:p w14:paraId="2544080C">
      <w:pPr>
        <w:pStyle w:val="3"/>
        <w:spacing w:before="156"/>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第二部分：商务技术标</w:t>
      </w:r>
    </w:p>
    <w:p w14:paraId="6C7C09FA">
      <w:pPr>
        <w:pStyle w:val="4"/>
        <w:ind w:firstLine="0" w:firstLineChars="0"/>
        <w:rPr>
          <w:rFonts w:ascii="宋体" w:hAnsi="宋体" w:cs="宋体"/>
          <w:color w:val="auto"/>
          <w:szCs w:val="21"/>
          <w:highlight w:val="none"/>
          <w:lang w:val="zh-CN"/>
        </w:rPr>
      </w:pPr>
      <w:r>
        <w:rPr>
          <w:rFonts w:hint="eastAsia" w:ascii="宋体" w:hAnsi="宋体" w:cs="宋体"/>
          <w:color w:val="auto"/>
          <w:szCs w:val="21"/>
          <w:highlight w:val="none"/>
        </w:rPr>
        <w:t>1.</w:t>
      </w:r>
      <w:r>
        <w:rPr>
          <w:rFonts w:hint="eastAsia" w:ascii="宋体" w:hAnsi="宋体" w:cs="宋体"/>
          <w:color w:val="auto"/>
          <w:szCs w:val="21"/>
          <w:highlight w:val="none"/>
          <w:lang w:val="zh-CN"/>
        </w:rPr>
        <w:t>商务响应表</w:t>
      </w:r>
    </w:p>
    <w:p w14:paraId="0A8860E2">
      <w:pPr>
        <w:ind w:firstLine="0" w:firstLineChars="0"/>
        <w:jc w:val="center"/>
        <w:rPr>
          <w:rFonts w:ascii="宋体" w:hAnsi="宋体" w:cs="宋体"/>
          <w:b/>
          <w:bCs/>
          <w:color w:val="auto"/>
          <w:highlight w:val="none"/>
        </w:rPr>
      </w:pPr>
      <w:r>
        <w:rPr>
          <w:rFonts w:hint="eastAsia" w:ascii="宋体" w:hAnsi="宋体" w:cs="宋体"/>
          <w:b/>
          <w:bCs/>
          <w:color w:val="auto"/>
          <w:highlight w:val="none"/>
        </w:rPr>
        <w:t>商务响应表</w:t>
      </w:r>
    </w:p>
    <w:tbl>
      <w:tblPr>
        <w:tblStyle w:val="4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9"/>
        <w:gridCol w:w="3059"/>
        <w:gridCol w:w="2409"/>
        <w:gridCol w:w="1842"/>
      </w:tblGrid>
      <w:tr w14:paraId="443F2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14E2EF70">
            <w:pPr>
              <w:ind w:firstLine="0" w:firstLineChars="0"/>
              <w:jc w:val="center"/>
              <w:rPr>
                <w:rFonts w:ascii="宋体" w:hAnsi="宋体" w:cs="宋体"/>
                <w:color w:val="auto"/>
                <w:highlight w:val="none"/>
              </w:rPr>
            </w:pPr>
            <w:r>
              <w:rPr>
                <w:rFonts w:hint="eastAsia" w:ascii="宋体" w:hAnsi="宋体" w:cs="宋体"/>
                <w:color w:val="auto"/>
                <w:highlight w:val="none"/>
              </w:rPr>
              <w:t>条款号</w:t>
            </w:r>
          </w:p>
        </w:tc>
        <w:tc>
          <w:tcPr>
            <w:tcW w:w="3059" w:type="dxa"/>
            <w:tcBorders>
              <w:top w:val="single" w:color="auto" w:sz="4" w:space="0"/>
              <w:left w:val="single" w:color="auto" w:sz="4" w:space="0"/>
              <w:bottom w:val="single" w:color="auto" w:sz="4" w:space="0"/>
              <w:right w:val="single" w:color="auto" w:sz="4" w:space="0"/>
            </w:tcBorders>
            <w:vAlign w:val="center"/>
          </w:tcPr>
          <w:p w14:paraId="542C2805">
            <w:pPr>
              <w:ind w:firstLine="0" w:firstLineChars="0"/>
              <w:jc w:val="center"/>
              <w:rPr>
                <w:rFonts w:ascii="宋体" w:hAnsi="宋体" w:cs="宋体"/>
                <w:color w:val="auto"/>
                <w:highlight w:val="none"/>
              </w:rPr>
            </w:pPr>
            <w:r>
              <w:rPr>
                <w:rFonts w:hint="eastAsia" w:ascii="宋体" w:hAnsi="宋体" w:cs="宋体"/>
                <w:color w:val="auto"/>
                <w:highlight w:val="none"/>
              </w:rPr>
              <w:t>招标文件要求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216BD41E">
            <w:pPr>
              <w:ind w:firstLine="0" w:firstLineChars="0"/>
              <w:jc w:val="center"/>
              <w:rPr>
                <w:rFonts w:ascii="宋体" w:hAnsi="宋体" w:cs="宋体"/>
                <w:color w:val="auto"/>
                <w:highlight w:val="none"/>
              </w:rPr>
            </w:pPr>
            <w:r>
              <w:rPr>
                <w:rFonts w:hint="eastAsia" w:ascii="宋体" w:hAnsi="宋体" w:cs="宋体"/>
                <w:color w:val="auto"/>
                <w:highlight w:val="none"/>
              </w:rPr>
              <w:t>投标人的承诺和说明</w:t>
            </w:r>
          </w:p>
        </w:tc>
        <w:tc>
          <w:tcPr>
            <w:tcW w:w="1842" w:type="dxa"/>
            <w:tcBorders>
              <w:top w:val="single" w:color="auto" w:sz="4" w:space="0"/>
              <w:left w:val="single" w:color="auto" w:sz="4" w:space="0"/>
              <w:bottom w:val="single" w:color="auto" w:sz="4" w:space="0"/>
              <w:right w:val="single" w:color="auto" w:sz="4" w:space="0"/>
            </w:tcBorders>
            <w:vAlign w:val="center"/>
          </w:tcPr>
          <w:p w14:paraId="1F9B2427">
            <w:pPr>
              <w:ind w:firstLine="0" w:firstLineChars="0"/>
              <w:jc w:val="center"/>
              <w:rPr>
                <w:rFonts w:ascii="宋体" w:hAnsi="宋体" w:cs="宋体"/>
                <w:color w:val="auto"/>
                <w:highlight w:val="none"/>
              </w:rPr>
            </w:pPr>
            <w:r>
              <w:rPr>
                <w:rFonts w:hint="eastAsia" w:ascii="宋体" w:hAnsi="宋体" w:cs="宋体"/>
                <w:color w:val="auto"/>
                <w:highlight w:val="none"/>
              </w:rPr>
              <w:t>偏离情况</w:t>
            </w:r>
          </w:p>
        </w:tc>
      </w:tr>
      <w:tr w14:paraId="180B2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2C8917B3">
            <w:pPr>
              <w:ind w:firstLine="0" w:firstLineChars="0"/>
              <w:jc w:val="center"/>
              <w:rPr>
                <w:rFonts w:ascii="宋体" w:hAnsi="宋体" w:cs="宋体"/>
                <w:color w:val="auto"/>
                <w:highlight w:val="none"/>
              </w:rPr>
            </w:pPr>
          </w:p>
        </w:tc>
        <w:tc>
          <w:tcPr>
            <w:tcW w:w="3059" w:type="dxa"/>
            <w:tcBorders>
              <w:top w:val="single" w:color="auto" w:sz="4" w:space="0"/>
              <w:left w:val="single" w:color="auto" w:sz="4" w:space="0"/>
              <w:bottom w:val="single" w:color="auto" w:sz="4" w:space="0"/>
              <w:right w:val="single" w:color="auto" w:sz="4" w:space="0"/>
            </w:tcBorders>
            <w:vAlign w:val="center"/>
          </w:tcPr>
          <w:p w14:paraId="26AEB03D">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10150024">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567C36D9">
            <w:pPr>
              <w:ind w:firstLine="0" w:firstLineChars="0"/>
              <w:jc w:val="center"/>
              <w:rPr>
                <w:rFonts w:ascii="宋体" w:hAnsi="宋体" w:cs="宋体"/>
                <w:color w:val="auto"/>
                <w:highlight w:val="none"/>
              </w:rPr>
            </w:pPr>
          </w:p>
        </w:tc>
      </w:tr>
      <w:tr w14:paraId="586F58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13AAAA87">
            <w:pPr>
              <w:ind w:firstLine="0" w:firstLineChars="0"/>
              <w:jc w:val="center"/>
              <w:rPr>
                <w:rFonts w:ascii="宋体" w:hAnsi="宋体" w:cs="宋体"/>
                <w:color w:val="auto"/>
                <w:highlight w:val="none"/>
              </w:rPr>
            </w:pPr>
          </w:p>
        </w:tc>
        <w:tc>
          <w:tcPr>
            <w:tcW w:w="3059" w:type="dxa"/>
            <w:tcBorders>
              <w:top w:val="single" w:color="auto" w:sz="4" w:space="0"/>
              <w:left w:val="single" w:color="auto" w:sz="4" w:space="0"/>
              <w:bottom w:val="single" w:color="auto" w:sz="4" w:space="0"/>
              <w:right w:val="single" w:color="auto" w:sz="4" w:space="0"/>
            </w:tcBorders>
            <w:vAlign w:val="center"/>
          </w:tcPr>
          <w:p w14:paraId="39C95CA2">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2141F267">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6CA3CD4C">
            <w:pPr>
              <w:ind w:firstLine="0" w:firstLineChars="0"/>
              <w:jc w:val="center"/>
              <w:rPr>
                <w:rFonts w:ascii="宋体" w:hAnsi="宋体" w:cs="宋体"/>
                <w:color w:val="auto"/>
                <w:highlight w:val="none"/>
              </w:rPr>
            </w:pPr>
          </w:p>
        </w:tc>
      </w:tr>
      <w:tr w14:paraId="22DAB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776C3BCD">
            <w:pPr>
              <w:ind w:firstLine="0" w:firstLineChars="0"/>
              <w:jc w:val="center"/>
              <w:rPr>
                <w:rFonts w:ascii="宋体" w:hAnsi="宋体" w:cs="宋体"/>
                <w:color w:val="auto"/>
                <w:highlight w:val="none"/>
              </w:rPr>
            </w:pPr>
          </w:p>
        </w:tc>
        <w:tc>
          <w:tcPr>
            <w:tcW w:w="3059" w:type="dxa"/>
            <w:tcBorders>
              <w:top w:val="single" w:color="auto" w:sz="4" w:space="0"/>
              <w:left w:val="single" w:color="auto" w:sz="4" w:space="0"/>
              <w:bottom w:val="single" w:color="auto" w:sz="4" w:space="0"/>
              <w:right w:val="single" w:color="auto" w:sz="4" w:space="0"/>
            </w:tcBorders>
            <w:vAlign w:val="center"/>
          </w:tcPr>
          <w:p w14:paraId="28BD037C">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4C173E5A">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57210BC3">
            <w:pPr>
              <w:ind w:firstLine="0" w:firstLineChars="0"/>
              <w:jc w:val="center"/>
              <w:rPr>
                <w:rFonts w:ascii="宋体" w:hAnsi="宋体" w:cs="宋体"/>
                <w:color w:val="auto"/>
                <w:highlight w:val="none"/>
              </w:rPr>
            </w:pPr>
          </w:p>
        </w:tc>
      </w:tr>
      <w:tr w14:paraId="4A5BA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774B870A">
            <w:pPr>
              <w:ind w:firstLine="0" w:firstLineChars="0"/>
              <w:jc w:val="center"/>
              <w:rPr>
                <w:rFonts w:ascii="宋体" w:hAnsi="宋体" w:cs="宋体"/>
                <w:color w:val="auto"/>
                <w:highlight w:val="none"/>
              </w:rPr>
            </w:pPr>
          </w:p>
        </w:tc>
        <w:tc>
          <w:tcPr>
            <w:tcW w:w="3059" w:type="dxa"/>
            <w:tcBorders>
              <w:top w:val="single" w:color="auto" w:sz="4" w:space="0"/>
              <w:left w:val="single" w:color="auto" w:sz="4" w:space="0"/>
              <w:bottom w:val="single" w:color="auto" w:sz="4" w:space="0"/>
              <w:right w:val="single" w:color="auto" w:sz="4" w:space="0"/>
            </w:tcBorders>
            <w:vAlign w:val="center"/>
          </w:tcPr>
          <w:p w14:paraId="1BDF77BC">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2739B18F">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6BCE8801">
            <w:pPr>
              <w:ind w:firstLine="0" w:firstLineChars="0"/>
              <w:jc w:val="center"/>
              <w:rPr>
                <w:rFonts w:ascii="宋体" w:hAnsi="宋体" w:cs="宋体"/>
                <w:color w:val="auto"/>
                <w:highlight w:val="none"/>
              </w:rPr>
            </w:pPr>
          </w:p>
        </w:tc>
      </w:tr>
      <w:tr w14:paraId="26F28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5AFCC78C">
            <w:pPr>
              <w:ind w:firstLine="0" w:firstLineChars="0"/>
              <w:jc w:val="center"/>
              <w:rPr>
                <w:rFonts w:ascii="宋体" w:hAnsi="宋体" w:cs="宋体"/>
                <w:color w:val="auto"/>
                <w:highlight w:val="none"/>
              </w:rPr>
            </w:pPr>
            <w:r>
              <w:rPr>
                <w:rFonts w:hint="eastAsia" w:ascii="宋体" w:hAnsi="宋体" w:cs="宋体"/>
                <w:color w:val="auto"/>
                <w:highlight w:val="none"/>
              </w:rPr>
              <w:t>……</w:t>
            </w:r>
          </w:p>
        </w:tc>
        <w:tc>
          <w:tcPr>
            <w:tcW w:w="3059" w:type="dxa"/>
            <w:tcBorders>
              <w:top w:val="single" w:color="auto" w:sz="4" w:space="0"/>
              <w:left w:val="single" w:color="auto" w:sz="4" w:space="0"/>
              <w:bottom w:val="single" w:color="auto" w:sz="4" w:space="0"/>
              <w:right w:val="single" w:color="auto" w:sz="4" w:space="0"/>
            </w:tcBorders>
            <w:vAlign w:val="center"/>
          </w:tcPr>
          <w:p w14:paraId="67AA995B">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5B1748F7">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2BD5BE3E">
            <w:pPr>
              <w:ind w:firstLine="0" w:firstLineChars="0"/>
              <w:jc w:val="center"/>
              <w:rPr>
                <w:rFonts w:ascii="宋体" w:hAnsi="宋体" w:cs="宋体"/>
                <w:color w:val="auto"/>
                <w:highlight w:val="none"/>
              </w:rPr>
            </w:pPr>
          </w:p>
        </w:tc>
      </w:tr>
      <w:tr w14:paraId="449756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56A4CEA1">
            <w:pPr>
              <w:ind w:firstLine="0" w:firstLineChars="0"/>
              <w:jc w:val="center"/>
              <w:rPr>
                <w:rFonts w:ascii="宋体" w:hAnsi="宋体" w:cs="宋体"/>
                <w:color w:val="auto"/>
                <w:highlight w:val="none"/>
              </w:rPr>
            </w:pPr>
          </w:p>
        </w:tc>
        <w:tc>
          <w:tcPr>
            <w:tcW w:w="3059" w:type="dxa"/>
            <w:tcBorders>
              <w:top w:val="single" w:color="auto" w:sz="4" w:space="0"/>
              <w:left w:val="single" w:color="auto" w:sz="4" w:space="0"/>
              <w:bottom w:val="single" w:color="auto" w:sz="4" w:space="0"/>
              <w:right w:val="single" w:color="auto" w:sz="4" w:space="0"/>
            </w:tcBorders>
            <w:vAlign w:val="center"/>
          </w:tcPr>
          <w:p w14:paraId="2AFA7833">
            <w:pPr>
              <w:ind w:firstLine="0" w:firstLineChars="0"/>
              <w:jc w:val="center"/>
              <w:rPr>
                <w:rFonts w:ascii="宋体" w:hAnsi="宋体" w:cs="宋体"/>
                <w:color w:val="auto"/>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331FC0F9">
            <w:pPr>
              <w:ind w:firstLine="0" w:firstLineChars="0"/>
              <w:jc w:val="center"/>
              <w:rPr>
                <w:rFonts w:ascii="宋体" w:hAnsi="宋体" w:cs="宋体"/>
                <w:color w:val="auto"/>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38C39F61">
            <w:pPr>
              <w:ind w:firstLine="0" w:firstLineChars="0"/>
              <w:jc w:val="center"/>
              <w:rPr>
                <w:rFonts w:ascii="宋体" w:hAnsi="宋体" w:cs="宋体"/>
                <w:color w:val="auto"/>
                <w:highlight w:val="none"/>
              </w:rPr>
            </w:pPr>
          </w:p>
        </w:tc>
      </w:tr>
    </w:tbl>
    <w:p w14:paraId="04C2FF61">
      <w:pPr>
        <w:ind w:firstLine="0" w:firstLineChars="0"/>
        <w:rPr>
          <w:rFonts w:ascii="宋体" w:hAnsi="宋体" w:cs="宋体"/>
          <w:color w:val="auto"/>
          <w:highlight w:val="none"/>
        </w:rPr>
      </w:pPr>
      <w:r>
        <w:rPr>
          <w:rFonts w:hint="eastAsia" w:ascii="宋体" w:hAnsi="宋体" w:cs="宋体"/>
          <w:color w:val="auto"/>
          <w:highlight w:val="none"/>
        </w:rPr>
        <w:t>注：</w:t>
      </w:r>
    </w:p>
    <w:p w14:paraId="2324C7A2">
      <w:pPr>
        <w:ind w:firstLine="420"/>
        <w:rPr>
          <w:rFonts w:ascii="宋体" w:hAnsi="宋体" w:cs="宋体"/>
          <w:color w:val="auto"/>
          <w:highlight w:val="none"/>
        </w:rPr>
      </w:pPr>
      <w:r>
        <w:rPr>
          <w:rFonts w:hint="eastAsia" w:ascii="宋体" w:hAnsi="宋体" w:cs="宋体"/>
          <w:color w:val="auto"/>
          <w:highlight w:val="none"/>
        </w:rPr>
        <w:t>主要针对招标文件“第二章  招标需求”的“商务要求”内容逐条响应，并在“偏离情况”栏注明“正偏离”、“负偏离”或“无偏离”，如未注明，招标人则视为投标人完全接受和满足招标文件规定的要求。</w:t>
      </w:r>
    </w:p>
    <w:p w14:paraId="51950BFB">
      <w:pPr>
        <w:ind w:firstLine="0" w:firstLineChars="0"/>
        <w:rPr>
          <w:rFonts w:ascii="宋体" w:hAnsi="宋体" w:cs="宋体"/>
          <w:color w:val="auto"/>
          <w:highlight w:val="none"/>
        </w:rPr>
      </w:pPr>
    </w:p>
    <w:p w14:paraId="00C9E435">
      <w:pPr>
        <w:ind w:firstLine="0" w:firstLineChars="0"/>
        <w:rPr>
          <w:rFonts w:ascii="宋体" w:hAnsi="宋体" w:cs="宋体"/>
          <w:color w:val="auto"/>
          <w:highlight w:val="none"/>
        </w:rPr>
      </w:pPr>
      <w:r>
        <w:rPr>
          <w:rFonts w:hint="eastAsia" w:ascii="宋体" w:hAnsi="宋体" w:cs="宋体"/>
          <w:color w:val="auto"/>
          <w:highlight w:val="none"/>
        </w:rPr>
        <w:t>法定代表人或授权代表（签章）：</w:t>
      </w:r>
    </w:p>
    <w:p w14:paraId="4FB66D4B">
      <w:pPr>
        <w:ind w:firstLine="0" w:firstLineChars="0"/>
        <w:rPr>
          <w:rFonts w:ascii="宋体" w:hAnsi="宋体" w:cs="宋体"/>
          <w:color w:val="auto"/>
          <w:highlight w:val="none"/>
        </w:rPr>
      </w:pPr>
      <w:r>
        <w:rPr>
          <w:rFonts w:hint="eastAsia" w:ascii="宋体" w:hAnsi="宋体" w:cs="宋体"/>
          <w:color w:val="auto"/>
          <w:highlight w:val="none"/>
        </w:rPr>
        <w:t>投标人名称（盖章）：</w:t>
      </w:r>
    </w:p>
    <w:p w14:paraId="0FEA3815">
      <w:pPr>
        <w:ind w:firstLine="0" w:firstLineChars="0"/>
        <w:jc w:val="right"/>
        <w:rPr>
          <w:rFonts w:ascii="宋体" w:hAnsi="宋体" w:cs="宋体"/>
          <w:color w:val="auto"/>
          <w:highlight w:val="none"/>
        </w:rPr>
      </w:pPr>
      <w:r>
        <w:rPr>
          <w:rFonts w:hint="eastAsia" w:ascii="宋体" w:hAnsi="宋体" w:cs="宋体"/>
          <w:color w:val="auto"/>
          <w:highlight w:val="none"/>
        </w:rPr>
        <w:t>日期：  年   月   日</w:t>
      </w:r>
    </w:p>
    <w:p w14:paraId="54546627">
      <w:pPr>
        <w:adjustRightInd w:val="0"/>
        <w:snapToGrid w:val="0"/>
        <w:ind w:firstLine="480"/>
        <w:rPr>
          <w:rFonts w:ascii="宋体" w:hAnsi="宋体" w:cs="宋体"/>
          <w:color w:val="auto"/>
          <w:sz w:val="24"/>
          <w:highlight w:val="none"/>
        </w:rPr>
      </w:pPr>
    </w:p>
    <w:p w14:paraId="38D55C6F">
      <w:pPr>
        <w:adjustRightInd w:val="0"/>
        <w:snapToGrid w:val="0"/>
        <w:ind w:firstLine="480"/>
        <w:rPr>
          <w:rFonts w:ascii="宋体" w:hAnsi="宋体" w:cs="宋体"/>
          <w:color w:val="auto"/>
          <w:sz w:val="24"/>
          <w:highlight w:val="none"/>
        </w:rPr>
      </w:pPr>
    </w:p>
    <w:p w14:paraId="087ABC85">
      <w:pPr>
        <w:pStyle w:val="4"/>
        <w:ind w:firstLine="0" w:firstLineChars="0"/>
        <w:rPr>
          <w:rFonts w:ascii="宋体" w:hAnsi="宋体" w:cs="宋体"/>
          <w:color w:val="auto"/>
          <w:highlight w:val="none"/>
        </w:rPr>
      </w:pPr>
      <w:r>
        <w:rPr>
          <w:rFonts w:hint="eastAsia" w:ascii="宋体" w:hAnsi="宋体" w:cs="宋体"/>
          <w:color w:val="auto"/>
          <w:sz w:val="24"/>
          <w:highlight w:val="none"/>
        </w:rPr>
        <w:br w:type="page"/>
      </w:r>
      <w:r>
        <w:rPr>
          <w:rFonts w:hint="eastAsia" w:ascii="宋体" w:hAnsi="宋体" w:cs="宋体"/>
          <w:color w:val="auto"/>
          <w:szCs w:val="21"/>
          <w:highlight w:val="none"/>
        </w:rPr>
        <w:t>2.技术响应表</w:t>
      </w:r>
    </w:p>
    <w:p w14:paraId="308C29A5">
      <w:pPr>
        <w:ind w:firstLine="0" w:firstLineChars="0"/>
        <w:jc w:val="center"/>
        <w:rPr>
          <w:rFonts w:ascii="宋体" w:hAnsi="宋体" w:cs="宋体"/>
          <w:b/>
          <w:bCs/>
          <w:color w:val="auto"/>
          <w:highlight w:val="none"/>
        </w:rPr>
      </w:pPr>
      <w:r>
        <w:rPr>
          <w:rFonts w:hint="eastAsia" w:ascii="宋体" w:hAnsi="宋体" w:cs="宋体"/>
          <w:b/>
          <w:bCs/>
          <w:color w:val="auto"/>
          <w:highlight w:val="none"/>
        </w:rPr>
        <w:t>技术响应表</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200"/>
        <w:gridCol w:w="2669"/>
        <w:gridCol w:w="2115"/>
        <w:gridCol w:w="2157"/>
      </w:tblGrid>
      <w:tr w14:paraId="3132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36FBFC96">
            <w:pPr>
              <w:ind w:firstLine="0" w:firstLineChars="0"/>
              <w:jc w:val="center"/>
              <w:rPr>
                <w:rFonts w:ascii="宋体" w:hAnsi="宋体" w:cs="宋体"/>
                <w:color w:val="auto"/>
                <w:highlight w:val="none"/>
              </w:rPr>
            </w:pPr>
            <w:bookmarkStart w:id="48" w:name="_Toc24082"/>
            <w:bookmarkStart w:id="49" w:name="_Toc83554784"/>
            <w:bookmarkStart w:id="50" w:name="_Toc51656393"/>
            <w:bookmarkStart w:id="51" w:name="_Toc12199"/>
            <w:bookmarkStart w:id="52" w:name="_Toc83476753"/>
            <w:r>
              <w:rPr>
                <w:rFonts w:hint="eastAsia" w:ascii="宋体" w:hAnsi="宋体" w:cs="宋体"/>
                <w:color w:val="auto"/>
                <w:highlight w:val="none"/>
              </w:rPr>
              <w:t>条款号</w:t>
            </w:r>
            <w:bookmarkEnd w:id="48"/>
            <w:bookmarkEnd w:id="49"/>
            <w:bookmarkEnd w:id="50"/>
            <w:bookmarkEnd w:id="51"/>
            <w:bookmarkEnd w:id="52"/>
          </w:p>
        </w:tc>
        <w:tc>
          <w:tcPr>
            <w:tcW w:w="1200" w:type="dxa"/>
            <w:vAlign w:val="center"/>
          </w:tcPr>
          <w:p w14:paraId="4DA0EF78">
            <w:pPr>
              <w:ind w:firstLine="0" w:firstLineChars="0"/>
              <w:jc w:val="center"/>
              <w:rPr>
                <w:rFonts w:ascii="宋体" w:hAnsi="宋体" w:cs="宋体"/>
                <w:color w:val="auto"/>
                <w:highlight w:val="none"/>
              </w:rPr>
            </w:pPr>
            <w:bookmarkStart w:id="53" w:name="_Toc26003"/>
            <w:bookmarkStart w:id="54" w:name="_Toc21048"/>
            <w:bookmarkStart w:id="55" w:name="_Toc83476754"/>
            <w:bookmarkStart w:id="56" w:name="_Toc83554785"/>
            <w:bookmarkStart w:id="57" w:name="_Toc51656394"/>
            <w:r>
              <w:rPr>
                <w:rFonts w:hint="eastAsia" w:ascii="宋体" w:hAnsi="宋体" w:cs="宋体"/>
                <w:color w:val="auto"/>
                <w:highlight w:val="none"/>
              </w:rPr>
              <w:t>名称</w:t>
            </w:r>
            <w:bookmarkEnd w:id="53"/>
            <w:bookmarkEnd w:id="54"/>
            <w:bookmarkEnd w:id="55"/>
            <w:bookmarkEnd w:id="56"/>
            <w:bookmarkEnd w:id="57"/>
          </w:p>
        </w:tc>
        <w:tc>
          <w:tcPr>
            <w:tcW w:w="2669" w:type="dxa"/>
            <w:vAlign w:val="center"/>
          </w:tcPr>
          <w:p w14:paraId="31488DAA">
            <w:pPr>
              <w:ind w:firstLine="0" w:firstLineChars="0"/>
              <w:jc w:val="center"/>
              <w:rPr>
                <w:rFonts w:ascii="宋体" w:hAnsi="宋体" w:cs="宋体"/>
                <w:color w:val="auto"/>
                <w:highlight w:val="none"/>
              </w:rPr>
            </w:pPr>
            <w:bookmarkStart w:id="58" w:name="_Toc83476755"/>
            <w:bookmarkStart w:id="59" w:name="_Toc83554786"/>
            <w:bookmarkStart w:id="60" w:name="_Toc16766"/>
            <w:bookmarkStart w:id="61" w:name="_Toc51656395"/>
            <w:bookmarkStart w:id="62" w:name="_Toc27169"/>
            <w:r>
              <w:rPr>
                <w:rFonts w:hint="eastAsia" w:ascii="宋体" w:hAnsi="宋体" w:cs="宋体"/>
                <w:color w:val="auto"/>
                <w:highlight w:val="none"/>
              </w:rPr>
              <w:t>招标文件技术需求</w:t>
            </w:r>
            <w:bookmarkEnd w:id="58"/>
            <w:bookmarkEnd w:id="59"/>
            <w:bookmarkEnd w:id="60"/>
            <w:bookmarkEnd w:id="61"/>
            <w:bookmarkEnd w:id="62"/>
          </w:p>
        </w:tc>
        <w:tc>
          <w:tcPr>
            <w:tcW w:w="2115" w:type="dxa"/>
            <w:vAlign w:val="center"/>
          </w:tcPr>
          <w:p w14:paraId="0FA78F1A">
            <w:pPr>
              <w:ind w:firstLine="0" w:firstLineChars="0"/>
              <w:jc w:val="center"/>
              <w:rPr>
                <w:rFonts w:ascii="宋体" w:hAnsi="宋体" w:cs="宋体"/>
                <w:color w:val="auto"/>
                <w:highlight w:val="none"/>
              </w:rPr>
            </w:pPr>
            <w:bookmarkStart w:id="63" w:name="_Toc18614"/>
            <w:bookmarkStart w:id="64" w:name="_Toc83554787"/>
            <w:bookmarkStart w:id="65" w:name="_Toc26220"/>
            <w:bookmarkStart w:id="66" w:name="_Toc83476756"/>
            <w:bookmarkStart w:id="67" w:name="_Toc51656396"/>
            <w:r>
              <w:rPr>
                <w:rFonts w:hint="eastAsia" w:ascii="宋体" w:hAnsi="宋体" w:cs="宋体"/>
                <w:color w:val="auto"/>
                <w:highlight w:val="none"/>
              </w:rPr>
              <w:t>投标人的承诺和说明</w:t>
            </w:r>
            <w:bookmarkEnd w:id="63"/>
            <w:bookmarkEnd w:id="64"/>
            <w:bookmarkEnd w:id="65"/>
            <w:bookmarkEnd w:id="66"/>
            <w:bookmarkEnd w:id="67"/>
          </w:p>
        </w:tc>
        <w:tc>
          <w:tcPr>
            <w:tcW w:w="2157" w:type="dxa"/>
            <w:vAlign w:val="center"/>
          </w:tcPr>
          <w:p w14:paraId="5EC80B36">
            <w:pPr>
              <w:ind w:firstLine="0" w:firstLineChars="0"/>
              <w:jc w:val="center"/>
              <w:rPr>
                <w:rFonts w:ascii="宋体" w:hAnsi="宋体" w:cs="宋体"/>
                <w:color w:val="auto"/>
                <w:highlight w:val="none"/>
              </w:rPr>
            </w:pPr>
            <w:bookmarkStart w:id="68" w:name="_Toc83554788"/>
            <w:bookmarkStart w:id="69" w:name="_Toc30797"/>
            <w:bookmarkStart w:id="70" w:name="_Toc51656397"/>
            <w:bookmarkStart w:id="71" w:name="_Toc83476757"/>
            <w:bookmarkStart w:id="72" w:name="_Toc28653"/>
            <w:r>
              <w:rPr>
                <w:rFonts w:hint="eastAsia" w:ascii="宋体" w:hAnsi="宋体" w:cs="宋体"/>
                <w:color w:val="auto"/>
                <w:highlight w:val="none"/>
              </w:rPr>
              <w:t>偏离情况</w:t>
            </w:r>
            <w:bookmarkEnd w:id="68"/>
            <w:bookmarkEnd w:id="69"/>
            <w:bookmarkEnd w:id="70"/>
            <w:bookmarkEnd w:id="71"/>
            <w:bookmarkEnd w:id="72"/>
          </w:p>
        </w:tc>
      </w:tr>
      <w:tr w14:paraId="6971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34BFC319">
            <w:pPr>
              <w:ind w:firstLine="0" w:firstLineChars="0"/>
              <w:jc w:val="center"/>
              <w:rPr>
                <w:rFonts w:ascii="宋体" w:hAnsi="宋体" w:cs="宋体"/>
                <w:color w:val="auto"/>
                <w:highlight w:val="none"/>
              </w:rPr>
            </w:pPr>
          </w:p>
        </w:tc>
        <w:tc>
          <w:tcPr>
            <w:tcW w:w="1200" w:type="dxa"/>
          </w:tcPr>
          <w:p w14:paraId="7FF47CF5">
            <w:pPr>
              <w:ind w:firstLine="0" w:firstLineChars="0"/>
              <w:jc w:val="center"/>
              <w:rPr>
                <w:rFonts w:ascii="宋体" w:hAnsi="宋体" w:cs="宋体"/>
                <w:color w:val="auto"/>
                <w:highlight w:val="none"/>
              </w:rPr>
            </w:pPr>
          </w:p>
        </w:tc>
        <w:tc>
          <w:tcPr>
            <w:tcW w:w="2669" w:type="dxa"/>
          </w:tcPr>
          <w:p w14:paraId="2B1C40B5">
            <w:pPr>
              <w:ind w:firstLine="0" w:firstLineChars="0"/>
              <w:jc w:val="center"/>
              <w:rPr>
                <w:rFonts w:ascii="宋体" w:hAnsi="宋体" w:cs="宋体"/>
                <w:color w:val="auto"/>
                <w:highlight w:val="none"/>
              </w:rPr>
            </w:pPr>
          </w:p>
        </w:tc>
        <w:tc>
          <w:tcPr>
            <w:tcW w:w="2115" w:type="dxa"/>
          </w:tcPr>
          <w:p w14:paraId="5C17C3FF">
            <w:pPr>
              <w:ind w:firstLine="0" w:firstLineChars="0"/>
              <w:jc w:val="center"/>
              <w:rPr>
                <w:rFonts w:ascii="宋体" w:hAnsi="宋体" w:cs="宋体"/>
                <w:color w:val="auto"/>
                <w:highlight w:val="none"/>
              </w:rPr>
            </w:pPr>
          </w:p>
        </w:tc>
        <w:tc>
          <w:tcPr>
            <w:tcW w:w="2157" w:type="dxa"/>
          </w:tcPr>
          <w:p w14:paraId="32FD51FA">
            <w:pPr>
              <w:ind w:firstLine="0" w:firstLineChars="0"/>
              <w:jc w:val="center"/>
              <w:rPr>
                <w:rFonts w:ascii="宋体" w:hAnsi="宋体" w:cs="宋体"/>
                <w:color w:val="auto"/>
                <w:highlight w:val="none"/>
              </w:rPr>
            </w:pPr>
          </w:p>
        </w:tc>
      </w:tr>
      <w:tr w14:paraId="20AD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64CBEA95">
            <w:pPr>
              <w:ind w:firstLine="0" w:firstLineChars="0"/>
              <w:jc w:val="center"/>
              <w:rPr>
                <w:rFonts w:ascii="宋体" w:hAnsi="宋体" w:cs="宋体"/>
                <w:color w:val="auto"/>
                <w:highlight w:val="none"/>
              </w:rPr>
            </w:pPr>
          </w:p>
        </w:tc>
        <w:tc>
          <w:tcPr>
            <w:tcW w:w="1200" w:type="dxa"/>
          </w:tcPr>
          <w:p w14:paraId="2F354557">
            <w:pPr>
              <w:ind w:firstLine="0" w:firstLineChars="0"/>
              <w:jc w:val="center"/>
              <w:rPr>
                <w:rFonts w:ascii="宋体" w:hAnsi="宋体" w:cs="宋体"/>
                <w:color w:val="auto"/>
                <w:highlight w:val="none"/>
              </w:rPr>
            </w:pPr>
          </w:p>
        </w:tc>
        <w:tc>
          <w:tcPr>
            <w:tcW w:w="2669" w:type="dxa"/>
          </w:tcPr>
          <w:p w14:paraId="3511C5D7">
            <w:pPr>
              <w:ind w:firstLine="0" w:firstLineChars="0"/>
              <w:jc w:val="center"/>
              <w:rPr>
                <w:rFonts w:ascii="宋体" w:hAnsi="宋体" w:cs="宋体"/>
                <w:color w:val="auto"/>
                <w:highlight w:val="none"/>
              </w:rPr>
            </w:pPr>
          </w:p>
        </w:tc>
        <w:tc>
          <w:tcPr>
            <w:tcW w:w="2115" w:type="dxa"/>
          </w:tcPr>
          <w:p w14:paraId="2714F486">
            <w:pPr>
              <w:ind w:firstLine="0" w:firstLineChars="0"/>
              <w:jc w:val="center"/>
              <w:rPr>
                <w:rFonts w:ascii="宋体" w:hAnsi="宋体" w:cs="宋体"/>
                <w:color w:val="auto"/>
                <w:highlight w:val="none"/>
              </w:rPr>
            </w:pPr>
          </w:p>
        </w:tc>
        <w:tc>
          <w:tcPr>
            <w:tcW w:w="2157" w:type="dxa"/>
          </w:tcPr>
          <w:p w14:paraId="4CCA4AC4">
            <w:pPr>
              <w:ind w:firstLine="0" w:firstLineChars="0"/>
              <w:jc w:val="center"/>
              <w:rPr>
                <w:rFonts w:ascii="宋体" w:hAnsi="宋体" w:cs="宋体"/>
                <w:color w:val="auto"/>
                <w:highlight w:val="none"/>
              </w:rPr>
            </w:pPr>
          </w:p>
        </w:tc>
      </w:tr>
      <w:tr w14:paraId="2ACF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07841CE8">
            <w:pPr>
              <w:ind w:firstLine="0" w:firstLineChars="0"/>
              <w:jc w:val="center"/>
              <w:rPr>
                <w:rFonts w:ascii="宋体" w:hAnsi="宋体" w:cs="宋体"/>
                <w:color w:val="auto"/>
                <w:highlight w:val="none"/>
              </w:rPr>
            </w:pPr>
          </w:p>
        </w:tc>
        <w:tc>
          <w:tcPr>
            <w:tcW w:w="1200" w:type="dxa"/>
          </w:tcPr>
          <w:p w14:paraId="03E7BB64">
            <w:pPr>
              <w:ind w:firstLine="0" w:firstLineChars="0"/>
              <w:jc w:val="center"/>
              <w:rPr>
                <w:rFonts w:ascii="宋体" w:hAnsi="宋体" w:cs="宋体"/>
                <w:color w:val="auto"/>
                <w:highlight w:val="none"/>
              </w:rPr>
            </w:pPr>
          </w:p>
        </w:tc>
        <w:tc>
          <w:tcPr>
            <w:tcW w:w="2669" w:type="dxa"/>
          </w:tcPr>
          <w:p w14:paraId="6F93BDFC">
            <w:pPr>
              <w:ind w:firstLine="0" w:firstLineChars="0"/>
              <w:jc w:val="center"/>
              <w:rPr>
                <w:rFonts w:ascii="宋体" w:hAnsi="宋体" w:cs="宋体"/>
                <w:color w:val="auto"/>
                <w:highlight w:val="none"/>
              </w:rPr>
            </w:pPr>
          </w:p>
        </w:tc>
        <w:tc>
          <w:tcPr>
            <w:tcW w:w="2115" w:type="dxa"/>
          </w:tcPr>
          <w:p w14:paraId="62B574B5">
            <w:pPr>
              <w:ind w:firstLine="0" w:firstLineChars="0"/>
              <w:jc w:val="center"/>
              <w:rPr>
                <w:rFonts w:ascii="宋体" w:hAnsi="宋体" w:cs="宋体"/>
                <w:color w:val="auto"/>
                <w:highlight w:val="none"/>
              </w:rPr>
            </w:pPr>
          </w:p>
        </w:tc>
        <w:tc>
          <w:tcPr>
            <w:tcW w:w="2157" w:type="dxa"/>
          </w:tcPr>
          <w:p w14:paraId="5BFC548E">
            <w:pPr>
              <w:ind w:firstLine="0" w:firstLineChars="0"/>
              <w:jc w:val="center"/>
              <w:rPr>
                <w:rFonts w:ascii="宋体" w:hAnsi="宋体" w:cs="宋体"/>
                <w:color w:val="auto"/>
                <w:highlight w:val="none"/>
              </w:rPr>
            </w:pPr>
          </w:p>
        </w:tc>
      </w:tr>
      <w:tr w14:paraId="2BCE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98" w:type="dxa"/>
            <w:vAlign w:val="center"/>
          </w:tcPr>
          <w:p w14:paraId="67E1A503">
            <w:pPr>
              <w:ind w:firstLine="0" w:firstLineChars="0"/>
              <w:jc w:val="center"/>
              <w:rPr>
                <w:rFonts w:ascii="宋体" w:hAnsi="宋体" w:cs="宋体"/>
                <w:color w:val="auto"/>
                <w:highlight w:val="none"/>
              </w:rPr>
            </w:pPr>
          </w:p>
        </w:tc>
        <w:tc>
          <w:tcPr>
            <w:tcW w:w="1200" w:type="dxa"/>
            <w:vAlign w:val="center"/>
          </w:tcPr>
          <w:p w14:paraId="7C911C4E">
            <w:pPr>
              <w:ind w:firstLine="0" w:firstLineChars="0"/>
              <w:jc w:val="center"/>
              <w:rPr>
                <w:rFonts w:ascii="宋体" w:hAnsi="宋体" w:cs="宋体"/>
                <w:color w:val="auto"/>
                <w:highlight w:val="none"/>
              </w:rPr>
            </w:pPr>
          </w:p>
        </w:tc>
        <w:tc>
          <w:tcPr>
            <w:tcW w:w="2669" w:type="dxa"/>
            <w:vAlign w:val="center"/>
          </w:tcPr>
          <w:p w14:paraId="230CA82E">
            <w:pPr>
              <w:ind w:firstLine="0" w:firstLineChars="0"/>
              <w:jc w:val="center"/>
              <w:rPr>
                <w:rFonts w:ascii="宋体" w:hAnsi="宋体" w:cs="宋体"/>
                <w:color w:val="auto"/>
                <w:highlight w:val="none"/>
              </w:rPr>
            </w:pPr>
          </w:p>
        </w:tc>
        <w:tc>
          <w:tcPr>
            <w:tcW w:w="2115" w:type="dxa"/>
          </w:tcPr>
          <w:p w14:paraId="7760D8FC">
            <w:pPr>
              <w:ind w:firstLine="0" w:firstLineChars="0"/>
              <w:jc w:val="center"/>
              <w:rPr>
                <w:rFonts w:ascii="宋体" w:hAnsi="宋体" w:cs="宋体"/>
                <w:color w:val="auto"/>
                <w:highlight w:val="none"/>
              </w:rPr>
            </w:pPr>
          </w:p>
        </w:tc>
        <w:tc>
          <w:tcPr>
            <w:tcW w:w="2157" w:type="dxa"/>
          </w:tcPr>
          <w:p w14:paraId="103DC143">
            <w:pPr>
              <w:ind w:firstLine="0" w:firstLineChars="0"/>
              <w:jc w:val="center"/>
              <w:rPr>
                <w:rFonts w:ascii="宋体" w:hAnsi="宋体" w:cs="宋体"/>
                <w:color w:val="auto"/>
                <w:highlight w:val="none"/>
              </w:rPr>
            </w:pPr>
          </w:p>
        </w:tc>
      </w:tr>
      <w:tr w14:paraId="5067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0489207F">
            <w:pPr>
              <w:ind w:firstLine="0" w:firstLineChars="0"/>
              <w:jc w:val="center"/>
              <w:rPr>
                <w:rFonts w:ascii="宋体" w:hAnsi="宋体" w:cs="宋体"/>
                <w:color w:val="auto"/>
                <w:highlight w:val="none"/>
              </w:rPr>
            </w:pPr>
          </w:p>
        </w:tc>
        <w:tc>
          <w:tcPr>
            <w:tcW w:w="1200" w:type="dxa"/>
            <w:vAlign w:val="center"/>
          </w:tcPr>
          <w:p w14:paraId="0ACB3470">
            <w:pPr>
              <w:ind w:firstLine="0" w:firstLineChars="0"/>
              <w:jc w:val="center"/>
              <w:rPr>
                <w:rFonts w:ascii="宋体" w:hAnsi="宋体" w:cs="宋体"/>
                <w:color w:val="auto"/>
                <w:highlight w:val="none"/>
              </w:rPr>
            </w:pPr>
          </w:p>
        </w:tc>
        <w:tc>
          <w:tcPr>
            <w:tcW w:w="2669" w:type="dxa"/>
            <w:vAlign w:val="center"/>
          </w:tcPr>
          <w:p w14:paraId="15254BA7">
            <w:pPr>
              <w:ind w:firstLine="0" w:firstLineChars="0"/>
              <w:jc w:val="center"/>
              <w:rPr>
                <w:rFonts w:ascii="宋体" w:hAnsi="宋体" w:cs="宋体"/>
                <w:color w:val="auto"/>
                <w:highlight w:val="none"/>
              </w:rPr>
            </w:pPr>
          </w:p>
        </w:tc>
        <w:tc>
          <w:tcPr>
            <w:tcW w:w="2115" w:type="dxa"/>
          </w:tcPr>
          <w:p w14:paraId="05E055B5">
            <w:pPr>
              <w:ind w:firstLine="0" w:firstLineChars="0"/>
              <w:jc w:val="center"/>
              <w:rPr>
                <w:rFonts w:ascii="宋体" w:hAnsi="宋体" w:cs="宋体"/>
                <w:color w:val="auto"/>
                <w:highlight w:val="none"/>
              </w:rPr>
            </w:pPr>
          </w:p>
        </w:tc>
        <w:tc>
          <w:tcPr>
            <w:tcW w:w="2157" w:type="dxa"/>
          </w:tcPr>
          <w:p w14:paraId="02D12888">
            <w:pPr>
              <w:ind w:firstLine="0" w:firstLineChars="0"/>
              <w:jc w:val="center"/>
              <w:rPr>
                <w:rFonts w:ascii="宋体" w:hAnsi="宋体" w:cs="宋体"/>
                <w:color w:val="auto"/>
                <w:highlight w:val="none"/>
              </w:rPr>
            </w:pPr>
          </w:p>
        </w:tc>
      </w:tr>
      <w:tr w14:paraId="6307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59F8FEE4">
            <w:pPr>
              <w:ind w:firstLine="0" w:firstLineChars="0"/>
              <w:jc w:val="center"/>
              <w:rPr>
                <w:rFonts w:ascii="宋体" w:hAnsi="宋体" w:cs="宋体"/>
                <w:color w:val="auto"/>
                <w:highlight w:val="none"/>
              </w:rPr>
            </w:pPr>
          </w:p>
        </w:tc>
        <w:tc>
          <w:tcPr>
            <w:tcW w:w="1200" w:type="dxa"/>
            <w:vAlign w:val="center"/>
          </w:tcPr>
          <w:p w14:paraId="3B3B806E">
            <w:pPr>
              <w:ind w:firstLine="0" w:firstLineChars="0"/>
              <w:jc w:val="center"/>
              <w:rPr>
                <w:rFonts w:ascii="宋体" w:hAnsi="宋体" w:cs="宋体"/>
                <w:color w:val="auto"/>
                <w:highlight w:val="none"/>
              </w:rPr>
            </w:pPr>
          </w:p>
        </w:tc>
        <w:tc>
          <w:tcPr>
            <w:tcW w:w="2669" w:type="dxa"/>
            <w:vAlign w:val="center"/>
          </w:tcPr>
          <w:p w14:paraId="1636832A">
            <w:pPr>
              <w:ind w:firstLine="0" w:firstLineChars="0"/>
              <w:jc w:val="center"/>
              <w:rPr>
                <w:rFonts w:ascii="宋体" w:hAnsi="宋体" w:cs="宋体"/>
                <w:color w:val="auto"/>
                <w:highlight w:val="none"/>
              </w:rPr>
            </w:pPr>
          </w:p>
        </w:tc>
        <w:tc>
          <w:tcPr>
            <w:tcW w:w="2115" w:type="dxa"/>
          </w:tcPr>
          <w:p w14:paraId="6662F79D">
            <w:pPr>
              <w:ind w:firstLine="0" w:firstLineChars="0"/>
              <w:jc w:val="center"/>
              <w:rPr>
                <w:rFonts w:ascii="宋体" w:hAnsi="宋体" w:cs="宋体"/>
                <w:color w:val="auto"/>
                <w:highlight w:val="none"/>
              </w:rPr>
            </w:pPr>
          </w:p>
        </w:tc>
        <w:tc>
          <w:tcPr>
            <w:tcW w:w="2157" w:type="dxa"/>
          </w:tcPr>
          <w:p w14:paraId="1C6518E2">
            <w:pPr>
              <w:ind w:firstLine="0" w:firstLineChars="0"/>
              <w:jc w:val="center"/>
              <w:rPr>
                <w:rFonts w:ascii="宋体" w:hAnsi="宋体" w:cs="宋体"/>
                <w:color w:val="auto"/>
                <w:highlight w:val="none"/>
              </w:rPr>
            </w:pPr>
          </w:p>
        </w:tc>
      </w:tr>
      <w:tr w14:paraId="07A2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6446670F">
            <w:pPr>
              <w:ind w:firstLine="0" w:firstLineChars="0"/>
              <w:jc w:val="center"/>
              <w:rPr>
                <w:rFonts w:ascii="宋体" w:hAnsi="宋体" w:cs="宋体"/>
                <w:color w:val="auto"/>
                <w:highlight w:val="none"/>
              </w:rPr>
            </w:pPr>
          </w:p>
        </w:tc>
        <w:tc>
          <w:tcPr>
            <w:tcW w:w="1200" w:type="dxa"/>
            <w:vAlign w:val="center"/>
          </w:tcPr>
          <w:p w14:paraId="0AD04371">
            <w:pPr>
              <w:ind w:firstLine="0" w:firstLineChars="0"/>
              <w:jc w:val="center"/>
              <w:rPr>
                <w:rFonts w:ascii="宋体" w:hAnsi="宋体" w:cs="宋体"/>
                <w:color w:val="auto"/>
                <w:highlight w:val="none"/>
              </w:rPr>
            </w:pPr>
          </w:p>
        </w:tc>
        <w:tc>
          <w:tcPr>
            <w:tcW w:w="2669" w:type="dxa"/>
            <w:vAlign w:val="center"/>
          </w:tcPr>
          <w:p w14:paraId="50D019C1">
            <w:pPr>
              <w:ind w:firstLine="0" w:firstLineChars="0"/>
              <w:jc w:val="center"/>
              <w:rPr>
                <w:rFonts w:ascii="宋体" w:hAnsi="宋体" w:cs="宋体"/>
                <w:color w:val="auto"/>
                <w:highlight w:val="none"/>
              </w:rPr>
            </w:pPr>
          </w:p>
        </w:tc>
        <w:tc>
          <w:tcPr>
            <w:tcW w:w="2115" w:type="dxa"/>
          </w:tcPr>
          <w:p w14:paraId="00D1D7C2">
            <w:pPr>
              <w:ind w:firstLine="0" w:firstLineChars="0"/>
              <w:jc w:val="center"/>
              <w:rPr>
                <w:rFonts w:ascii="宋体" w:hAnsi="宋体" w:cs="宋体"/>
                <w:color w:val="auto"/>
                <w:highlight w:val="none"/>
              </w:rPr>
            </w:pPr>
          </w:p>
        </w:tc>
        <w:tc>
          <w:tcPr>
            <w:tcW w:w="2157" w:type="dxa"/>
          </w:tcPr>
          <w:p w14:paraId="68B5D4DF">
            <w:pPr>
              <w:ind w:firstLine="0" w:firstLineChars="0"/>
              <w:jc w:val="center"/>
              <w:rPr>
                <w:rFonts w:ascii="宋体" w:hAnsi="宋体" w:cs="宋体"/>
                <w:color w:val="auto"/>
                <w:highlight w:val="none"/>
              </w:rPr>
            </w:pPr>
          </w:p>
        </w:tc>
      </w:tr>
      <w:tr w14:paraId="61F6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tcPr>
          <w:p w14:paraId="379F4F97">
            <w:pPr>
              <w:ind w:firstLine="0" w:firstLineChars="0"/>
              <w:jc w:val="center"/>
              <w:rPr>
                <w:rFonts w:ascii="宋体" w:hAnsi="宋体" w:cs="宋体"/>
                <w:color w:val="auto"/>
                <w:highlight w:val="none"/>
              </w:rPr>
            </w:pPr>
          </w:p>
        </w:tc>
        <w:tc>
          <w:tcPr>
            <w:tcW w:w="1200" w:type="dxa"/>
          </w:tcPr>
          <w:p w14:paraId="724A98FB">
            <w:pPr>
              <w:ind w:firstLine="0" w:firstLineChars="0"/>
              <w:jc w:val="center"/>
              <w:rPr>
                <w:rFonts w:ascii="宋体" w:hAnsi="宋体" w:cs="宋体"/>
                <w:color w:val="auto"/>
                <w:highlight w:val="none"/>
              </w:rPr>
            </w:pPr>
          </w:p>
        </w:tc>
        <w:tc>
          <w:tcPr>
            <w:tcW w:w="2669" w:type="dxa"/>
          </w:tcPr>
          <w:p w14:paraId="3EA23691">
            <w:pPr>
              <w:ind w:firstLine="0" w:firstLineChars="0"/>
              <w:jc w:val="center"/>
              <w:rPr>
                <w:rFonts w:ascii="宋体" w:hAnsi="宋体" w:cs="宋体"/>
                <w:color w:val="auto"/>
                <w:highlight w:val="none"/>
              </w:rPr>
            </w:pPr>
          </w:p>
        </w:tc>
        <w:tc>
          <w:tcPr>
            <w:tcW w:w="2115" w:type="dxa"/>
          </w:tcPr>
          <w:p w14:paraId="61694D8B">
            <w:pPr>
              <w:ind w:firstLine="0" w:firstLineChars="0"/>
              <w:jc w:val="center"/>
              <w:rPr>
                <w:rFonts w:ascii="宋体" w:hAnsi="宋体" w:cs="宋体"/>
                <w:color w:val="auto"/>
                <w:highlight w:val="none"/>
              </w:rPr>
            </w:pPr>
          </w:p>
        </w:tc>
        <w:tc>
          <w:tcPr>
            <w:tcW w:w="2157" w:type="dxa"/>
          </w:tcPr>
          <w:p w14:paraId="05CBC7D6">
            <w:pPr>
              <w:ind w:firstLine="0" w:firstLineChars="0"/>
              <w:jc w:val="center"/>
              <w:rPr>
                <w:rFonts w:ascii="宋体" w:hAnsi="宋体" w:cs="宋体"/>
                <w:color w:val="auto"/>
                <w:highlight w:val="none"/>
              </w:rPr>
            </w:pPr>
          </w:p>
        </w:tc>
      </w:tr>
    </w:tbl>
    <w:p w14:paraId="6F435866">
      <w:pPr>
        <w:ind w:firstLine="0" w:firstLineChars="0"/>
        <w:rPr>
          <w:rFonts w:ascii="宋体" w:hAnsi="宋体" w:cs="宋体"/>
          <w:color w:val="auto"/>
          <w:highlight w:val="none"/>
        </w:rPr>
      </w:pPr>
      <w:r>
        <w:rPr>
          <w:rFonts w:hint="eastAsia" w:ascii="宋体" w:hAnsi="宋体" w:cs="宋体"/>
          <w:color w:val="auto"/>
          <w:highlight w:val="none"/>
        </w:rPr>
        <w:t>注：</w:t>
      </w:r>
    </w:p>
    <w:p w14:paraId="0CF9C3C6">
      <w:pPr>
        <w:ind w:firstLine="420"/>
        <w:rPr>
          <w:rFonts w:ascii="宋体" w:hAnsi="宋体" w:cs="宋体"/>
          <w:color w:val="auto"/>
          <w:highlight w:val="none"/>
        </w:rPr>
      </w:pPr>
      <w:r>
        <w:rPr>
          <w:rFonts w:hint="eastAsia" w:ascii="宋体" w:hAnsi="宋体" w:cs="宋体"/>
          <w:color w:val="auto"/>
          <w:highlight w:val="none"/>
        </w:rPr>
        <w:t>投标人应对招标文件的技术要求进行响应，在“偏离情况”栏注明“正偏离”、“负偏离”或“无偏离”，如未注明，招标人则视为投标人完全接受和满足招标文件规定的要求。</w:t>
      </w:r>
    </w:p>
    <w:p w14:paraId="5104B43D">
      <w:pPr>
        <w:ind w:firstLine="0" w:firstLineChars="0"/>
        <w:rPr>
          <w:rFonts w:ascii="宋体" w:hAnsi="宋体" w:cs="宋体"/>
          <w:color w:val="auto"/>
          <w:highlight w:val="none"/>
        </w:rPr>
      </w:pPr>
    </w:p>
    <w:p w14:paraId="3EDCEA13">
      <w:pPr>
        <w:ind w:firstLine="0" w:firstLineChars="0"/>
        <w:rPr>
          <w:rFonts w:ascii="宋体" w:hAnsi="宋体" w:cs="宋体"/>
          <w:color w:val="auto"/>
          <w:highlight w:val="none"/>
        </w:rPr>
      </w:pPr>
    </w:p>
    <w:p w14:paraId="38100DDD">
      <w:pPr>
        <w:ind w:firstLine="0" w:firstLineChars="0"/>
        <w:rPr>
          <w:rFonts w:ascii="宋体" w:hAnsi="宋体" w:cs="宋体"/>
          <w:color w:val="auto"/>
          <w:highlight w:val="none"/>
        </w:rPr>
      </w:pPr>
      <w:r>
        <w:rPr>
          <w:rFonts w:hint="eastAsia" w:ascii="宋体" w:hAnsi="宋体" w:cs="宋体"/>
          <w:color w:val="auto"/>
          <w:highlight w:val="none"/>
        </w:rPr>
        <w:t>法定代表人或授权代表（签章）：</w:t>
      </w:r>
    </w:p>
    <w:p w14:paraId="0B1D309B">
      <w:pPr>
        <w:ind w:firstLine="0" w:firstLineChars="0"/>
        <w:rPr>
          <w:rFonts w:ascii="宋体" w:hAnsi="宋体" w:cs="宋体"/>
          <w:color w:val="auto"/>
          <w:highlight w:val="none"/>
        </w:rPr>
      </w:pPr>
      <w:r>
        <w:rPr>
          <w:rFonts w:hint="eastAsia" w:ascii="宋体" w:hAnsi="宋体" w:cs="宋体"/>
          <w:color w:val="auto"/>
          <w:highlight w:val="none"/>
        </w:rPr>
        <w:t>投标人名称（盖章）：</w:t>
      </w:r>
    </w:p>
    <w:p w14:paraId="141CAE5B">
      <w:pPr>
        <w:ind w:firstLine="0" w:firstLineChars="0"/>
        <w:jc w:val="right"/>
        <w:rPr>
          <w:rFonts w:ascii="宋体" w:hAnsi="宋体" w:cs="宋体"/>
          <w:color w:val="auto"/>
          <w:highlight w:val="none"/>
        </w:rPr>
      </w:pPr>
      <w:r>
        <w:rPr>
          <w:rFonts w:hint="eastAsia" w:ascii="宋体" w:hAnsi="宋体" w:cs="宋体"/>
          <w:color w:val="auto"/>
          <w:highlight w:val="none"/>
        </w:rPr>
        <w:t>日期：  年   月   日</w:t>
      </w:r>
    </w:p>
    <w:p w14:paraId="1DA5F5DA">
      <w:pPr>
        <w:spacing w:before="156" w:beforeLines="50"/>
        <w:ind w:firstLine="0" w:firstLineChars="0"/>
        <w:rPr>
          <w:rFonts w:ascii="宋体" w:hAnsi="宋体" w:cs="宋体"/>
          <w:color w:val="auto"/>
          <w:highlight w:val="none"/>
        </w:rPr>
      </w:pPr>
    </w:p>
    <w:p w14:paraId="738D9273">
      <w:pPr>
        <w:ind w:firstLine="0" w:firstLineChars="0"/>
        <w:jc w:val="right"/>
        <w:rPr>
          <w:rFonts w:ascii="宋体" w:hAnsi="宋体" w:cs="宋体"/>
          <w:color w:val="auto"/>
          <w:highlight w:val="none"/>
        </w:rPr>
      </w:pPr>
    </w:p>
    <w:p w14:paraId="1F28695D">
      <w:pPr>
        <w:ind w:firstLine="420"/>
        <w:rPr>
          <w:rFonts w:ascii="宋体" w:hAnsi="宋体" w:cs="宋体"/>
          <w:color w:val="auto"/>
          <w:highlight w:val="none"/>
        </w:rPr>
      </w:pPr>
    </w:p>
    <w:p w14:paraId="5861CEC4">
      <w:pPr>
        <w:pStyle w:val="4"/>
        <w:ind w:firstLine="0" w:firstLineChars="0"/>
        <w:rPr>
          <w:rFonts w:ascii="宋体" w:hAnsi="宋体" w:cs="宋体"/>
          <w:color w:val="auto"/>
          <w:highlight w:val="none"/>
          <w:lang w:val="zh-CN"/>
        </w:rPr>
      </w:pPr>
      <w:r>
        <w:rPr>
          <w:rFonts w:hint="eastAsia" w:ascii="宋体" w:hAnsi="宋体" w:cs="宋体"/>
          <w:color w:val="auto"/>
          <w:szCs w:val="21"/>
          <w:highlight w:val="none"/>
          <w:lang w:val="zh-CN"/>
        </w:rPr>
        <w:br w:type="page"/>
      </w:r>
      <w:r>
        <w:rPr>
          <w:rFonts w:hint="eastAsia" w:ascii="宋体" w:hAnsi="宋体" w:cs="宋体"/>
          <w:color w:val="auto"/>
          <w:highlight w:val="none"/>
        </w:rPr>
        <w:t>3.</w:t>
      </w:r>
      <w:r>
        <w:rPr>
          <w:rFonts w:hint="eastAsia" w:ascii="宋体" w:hAnsi="宋体" w:cs="宋体"/>
          <w:color w:val="auto"/>
          <w:highlight w:val="none"/>
          <w:lang w:val="zh-CN"/>
        </w:rPr>
        <w:t>业绩</w:t>
      </w:r>
    </w:p>
    <w:p w14:paraId="5AA1502B">
      <w:pPr>
        <w:ind w:firstLine="0" w:firstLineChars="0"/>
        <w:jc w:val="center"/>
        <w:rPr>
          <w:rFonts w:ascii="宋体" w:hAnsi="宋体" w:cs="宋体"/>
          <w:b/>
          <w:bCs/>
          <w:color w:val="auto"/>
          <w:szCs w:val="21"/>
          <w:highlight w:val="none"/>
        </w:rPr>
      </w:pPr>
      <w:r>
        <w:rPr>
          <w:rFonts w:hint="eastAsia" w:ascii="宋体" w:hAnsi="宋体" w:cs="宋体"/>
          <w:b/>
          <w:bCs/>
          <w:color w:val="auto"/>
          <w:highlight w:val="none"/>
        </w:rPr>
        <w:t>同类项目业绩表</w:t>
      </w:r>
    </w:p>
    <w:p w14:paraId="6212EAAF">
      <w:pPr>
        <w:snapToGrid w:val="0"/>
        <w:spacing w:before="50" w:after="50"/>
        <w:ind w:firstLine="210" w:firstLineChars="100"/>
        <w:rPr>
          <w:rFonts w:ascii="宋体" w:hAnsi="宋体" w:cs="宋体"/>
          <w:color w:val="auto"/>
          <w:szCs w:val="21"/>
          <w:highlight w:val="none"/>
          <w:u w:val="single"/>
        </w:rPr>
      </w:pP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282"/>
        <w:gridCol w:w="1718"/>
        <w:gridCol w:w="1282"/>
        <w:gridCol w:w="2253"/>
      </w:tblGrid>
      <w:tr w14:paraId="6BCF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vAlign w:val="center"/>
          </w:tcPr>
          <w:p w14:paraId="4BF481C3">
            <w:pPr>
              <w:ind w:firstLine="0" w:firstLineChars="0"/>
              <w:jc w:val="center"/>
              <w:rPr>
                <w:rFonts w:ascii="宋体" w:hAnsi="宋体" w:cs="宋体"/>
                <w:b/>
                <w:bCs/>
                <w:color w:val="auto"/>
                <w:highlight w:val="none"/>
              </w:rPr>
            </w:pPr>
            <w:r>
              <w:rPr>
                <w:rFonts w:hint="eastAsia" w:ascii="宋体" w:hAnsi="宋体" w:cs="宋体"/>
                <w:b/>
                <w:bCs/>
                <w:color w:val="auto"/>
                <w:highlight w:val="none"/>
              </w:rPr>
              <w:t>项目名称</w:t>
            </w:r>
          </w:p>
          <w:p w14:paraId="140AD2FD">
            <w:pPr>
              <w:ind w:firstLine="0" w:firstLineChars="0"/>
              <w:jc w:val="center"/>
              <w:rPr>
                <w:rFonts w:ascii="宋体" w:hAnsi="宋体" w:cs="宋体"/>
                <w:b/>
                <w:bCs/>
                <w:color w:val="auto"/>
                <w:highlight w:val="none"/>
              </w:rPr>
            </w:pPr>
            <w:r>
              <w:rPr>
                <w:rFonts w:hint="eastAsia" w:ascii="宋体" w:hAnsi="宋体" w:cs="宋体"/>
                <w:b/>
                <w:bCs/>
                <w:color w:val="auto"/>
                <w:highlight w:val="none"/>
              </w:rPr>
              <w:t>（主要实施内容）</w:t>
            </w:r>
          </w:p>
        </w:tc>
        <w:tc>
          <w:tcPr>
            <w:tcW w:w="752" w:type="pct"/>
            <w:vAlign w:val="center"/>
          </w:tcPr>
          <w:p w14:paraId="556219D6">
            <w:pPr>
              <w:ind w:firstLine="0" w:firstLineChars="0"/>
              <w:jc w:val="center"/>
              <w:rPr>
                <w:rFonts w:ascii="宋体" w:hAnsi="宋体" w:cs="宋体"/>
                <w:b/>
                <w:bCs/>
                <w:color w:val="auto"/>
                <w:highlight w:val="none"/>
              </w:rPr>
            </w:pPr>
            <w:r>
              <w:rPr>
                <w:rFonts w:hint="eastAsia" w:ascii="宋体" w:hAnsi="宋体" w:cs="宋体"/>
                <w:b/>
                <w:bCs/>
                <w:color w:val="auto"/>
                <w:highlight w:val="none"/>
              </w:rPr>
              <w:t>采购方</w:t>
            </w:r>
          </w:p>
        </w:tc>
        <w:tc>
          <w:tcPr>
            <w:tcW w:w="1008" w:type="pct"/>
            <w:vAlign w:val="center"/>
          </w:tcPr>
          <w:p w14:paraId="496EB04D">
            <w:pPr>
              <w:ind w:firstLine="0" w:firstLineChars="0"/>
              <w:jc w:val="center"/>
              <w:rPr>
                <w:rFonts w:ascii="宋体" w:hAnsi="宋体" w:cs="宋体"/>
                <w:b/>
                <w:bCs/>
                <w:color w:val="auto"/>
                <w:highlight w:val="none"/>
              </w:rPr>
            </w:pPr>
            <w:r>
              <w:rPr>
                <w:rFonts w:hint="eastAsia" w:ascii="宋体" w:hAnsi="宋体" w:cs="宋体"/>
                <w:b/>
                <w:bCs/>
                <w:color w:val="auto"/>
                <w:highlight w:val="none"/>
              </w:rPr>
              <w:t>合同签订时间</w:t>
            </w:r>
          </w:p>
        </w:tc>
        <w:tc>
          <w:tcPr>
            <w:tcW w:w="752" w:type="pct"/>
            <w:vAlign w:val="center"/>
          </w:tcPr>
          <w:p w14:paraId="4ABD17CD">
            <w:pPr>
              <w:ind w:firstLine="0" w:firstLineChars="0"/>
              <w:jc w:val="center"/>
              <w:rPr>
                <w:rFonts w:ascii="宋体" w:hAnsi="宋体" w:cs="宋体"/>
                <w:b/>
                <w:bCs/>
                <w:color w:val="auto"/>
                <w:highlight w:val="none"/>
              </w:rPr>
            </w:pPr>
            <w:r>
              <w:rPr>
                <w:rFonts w:hint="eastAsia" w:ascii="宋体" w:hAnsi="宋体" w:cs="宋体"/>
                <w:b/>
                <w:bCs/>
                <w:color w:val="auto"/>
                <w:highlight w:val="none"/>
              </w:rPr>
              <w:t>合同价</w:t>
            </w:r>
          </w:p>
        </w:tc>
        <w:tc>
          <w:tcPr>
            <w:tcW w:w="1321" w:type="pct"/>
            <w:vAlign w:val="center"/>
          </w:tcPr>
          <w:p w14:paraId="607716DD">
            <w:pPr>
              <w:ind w:firstLine="0" w:firstLineChars="0"/>
              <w:jc w:val="center"/>
              <w:rPr>
                <w:rFonts w:ascii="宋体" w:hAnsi="宋体" w:cs="宋体"/>
                <w:b/>
                <w:bCs/>
                <w:color w:val="auto"/>
                <w:highlight w:val="none"/>
              </w:rPr>
            </w:pPr>
            <w:r>
              <w:rPr>
                <w:rFonts w:hint="eastAsia" w:ascii="宋体" w:hAnsi="宋体" w:cs="宋体"/>
                <w:b/>
                <w:bCs/>
                <w:color w:val="auto"/>
                <w:highlight w:val="none"/>
              </w:rPr>
              <w:t>联系人、联系方式</w:t>
            </w:r>
          </w:p>
        </w:tc>
      </w:tr>
      <w:tr w14:paraId="1684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76F829B8">
            <w:pPr>
              <w:ind w:firstLine="0" w:firstLineChars="0"/>
              <w:jc w:val="center"/>
              <w:rPr>
                <w:rFonts w:ascii="宋体" w:hAnsi="宋体" w:cs="宋体"/>
                <w:color w:val="auto"/>
                <w:highlight w:val="none"/>
              </w:rPr>
            </w:pPr>
          </w:p>
        </w:tc>
        <w:tc>
          <w:tcPr>
            <w:tcW w:w="752" w:type="pct"/>
          </w:tcPr>
          <w:p w14:paraId="0F7BD7BB">
            <w:pPr>
              <w:ind w:firstLine="0" w:firstLineChars="0"/>
              <w:jc w:val="center"/>
              <w:rPr>
                <w:rFonts w:ascii="宋体" w:hAnsi="宋体" w:cs="宋体"/>
                <w:color w:val="auto"/>
                <w:highlight w:val="none"/>
              </w:rPr>
            </w:pPr>
          </w:p>
        </w:tc>
        <w:tc>
          <w:tcPr>
            <w:tcW w:w="1008" w:type="pct"/>
          </w:tcPr>
          <w:p w14:paraId="658E1849">
            <w:pPr>
              <w:ind w:firstLine="0" w:firstLineChars="0"/>
              <w:jc w:val="center"/>
              <w:rPr>
                <w:rFonts w:ascii="宋体" w:hAnsi="宋体" w:cs="宋体"/>
                <w:color w:val="auto"/>
                <w:highlight w:val="none"/>
              </w:rPr>
            </w:pPr>
          </w:p>
        </w:tc>
        <w:tc>
          <w:tcPr>
            <w:tcW w:w="752" w:type="pct"/>
          </w:tcPr>
          <w:p w14:paraId="2CC1058C">
            <w:pPr>
              <w:ind w:firstLine="0" w:firstLineChars="0"/>
              <w:jc w:val="center"/>
              <w:rPr>
                <w:rFonts w:ascii="宋体" w:hAnsi="宋体" w:cs="宋体"/>
                <w:color w:val="auto"/>
                <w:highlight w:val="none"/>
              </w:rPr>
            </w:pPr>
          </w:p>
        </w:tc>
        <w:tc>
          <w:tcPr>
            <w:tcW w:w="1321" w:type="pct"/>
          </w:tcPr>
          <w:p w14:paraId="3D9BD4A3">
            <w:pPr>
              <w:ind w:firstLine="0" w:firstLineChars="0"/>
              <w:jc w:val="center"/>
              <w:rPr>
                <w:rFonts w:ascii="宋体" w:hAnsi="宋体" w:cs="宋体"/>
                <w:color w:val="auto"/>
                <w:highlight w:val="none"/>
              </w:rPr>
            </w:pPr>
          </w:p>
        </w:tc>
      </w:tr>
      <w:tr w14:paraId="65CE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6679BE2C">
            <w:pPr>
              <w:ind w:firstLine="0" w:firstLineChars="0"/>
              <w:jc w:val="center"/>
              <w:rPr>
                <w:rFonts w:ascii="宋体" w:hAnsi="宋体" w:cs="宋体"/>
                <w:color w:val="auto"/>
                <w:highlight w:val="none"/>
              </w:rPr>
            </w:pPr>
          </w:p>
        </w:tc>
        <w:tc>
          <w:tcPr>
            <w:tcW w:w="752" w:type="pct"/>
          </w:tcPr>
          <w:p w14:paraId="41F78D62">
            <w:pPr>
              <w:ind w:firstLine="0" w:firstLineChars="0"/>
              <w:jc w:val="center"/>
              <w:rPr>
                <w:rFonts w:ascii="宋体" w:hAnsi="宋体" w:cs="宋体"/>
                <w:color w:val="auto"/>
                <w:highlight w:val="none"/>
              </w:rPr>
            </w:pPr>
          </w:p>
        </w:tc>
        <w:tc>
          <w:tcPr>
            <w:tcW w:w="1008" w:type="pct"/>
          </w:tcPr>
          <w:p w14:paraId="3B9473D4">
            <w:pPr>
              <w:ind w:firstLine="0" w:firstLineChars="0"/>
              <w:jc w:val="center"/>
              <w:rPr>
                <w:rFonts w:ascii="宋体" w:hAnsi="宋体" w:cs="宋体"/>
                <w:color w:val="auto"/>
                <w:highlight w:val="none"/>
              </w:rPr>
            </w:pPr>
          </w:p>
        </w:tc>
        <w:tc>
          <w:tcPr>
            <w:tcW w:w="752" w:type="pct"/>
          </w:tcPr>
          <w:p w14:paraId="59461D5A">
            <w:pPr>
              <w:ind w:firstLine="0" w:firstLineChars="0"/>
              <w:jc w:val="center"/>
              <w:rPr>
                <w:rFonts w:ascii="宋体" w:hAnsi="宋体" w:cs="宋体"/>
                <w:color w:val="auto"/>
                <w:highlight w:val="none"/>
              </w:rPr>
            </w:pPr>
          </w:p>
        </w:tc>
        <w:tc>
          <w:tcPr>
            <w:tcW w:w="1321" w:type="pct"/>
          </w:tcPr>
          <w:p w14:paraId="59AD0585">
            <w:pPr>
              <w:ind w:firstLine="0" w:firstLineChars="0"/>
              <w:jc w:val="center"/>
              <w:rPr>
                <w:rFonts w:ascii="宋体" w:hAnsi="宋体" w:cs="宋体"/>
                <w:color w:val="auto"/>
                <w:highlight w:val="none"/>
              </w:rPr>
            </w:pPr>
          </w:p>
        </w:tc>
      </w:tr>
      <w:tr w14:paraId="06DE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0" w:hRule="atLeast"/>
          <w:jc w:val="center"/>
        </w:trPr>
        <w:tc>
          <w:tcPr>
            <w:tcW w:w="1164" w:type="pct"/>
          </w:tcPr>
          <w:p w14:paraId="01365BFB">
            <w:pPr>
              <w:ind w:firstLine="0" w:firstLineChars="0"/>
              <w:jc w:val="center"/>
              <w:rPr>
                <w:rFonts w:ascii="宋体" w:hAnsi="宋体" w:cs="宋体"/>
                <w:color w:val="auto"/>
                <w:highlight w:val="none"/>
              </w:rPr>
            </w:pPr>
          </w:p>
        </w:tc>
        <w:tc>
          <w:tcPr>
            <w:tcW w:w="752" w:type="pct"/>
          </w:tcPr>
          <w:p w14:paraId="2EFB294B">
            <w:pPr>
              <w:ind w:firstLine="0" w:firstLineChars="0"/>
              <w:jc w:val="center"/>
              <w:rPr>
                <w:rFonts w:ascii="宋体" w:hAnsi="宋体" w:cs="宋体"/>
                <w:color w:val="auto"/>
                <w:highlight w:val="none"/>
              </w:rPr>
            </w:pPr>
          </w:p>
        </w:tc>
        <w:tc>
          <w:tcPr>
            <w:tcW w:w="1008" w:type="pct"/>
          </w:tcPr>
          <w:p w14:paraId="351D510F">
            <w:pPr>
              <w:ind w:firstLine="0" w:firstLineChars="0"/>
              <w:jc w:val="center"/>
              <w:rPr>
                <w:rFonts w:ascii="宋体" w:hAnsi="宋体" w:cs="宋体"/>
                <w:color w:val="auto"/>
                <w:highlight w:val="none"/>
              </w:rPr>
            </w:pPr>
          </w:p>
        </w:tc>
        <w:tc>
          <w:tcPr>
            <w:tcW w:w="752" w:type="pct"/>
          </w:tcPr>
          <w:p w14:paraId="52802677">
            <w:pPr>
              <w:ind w:firstLine="0" w:firstLineChars="0"/>
              <w:jc w:val="center"/>
              <w:rPr>
                <w:rFonts w:ascii="宋体" w:hAnsi="宋体" w:cs="宋体"/>
                <w:color w:val="auto"/>
                <w:highlight w:val="none"/>
              </w:rPr>
            </w:pPr>
          </w:p>
        </w:tc>
        <w:tc>
          <w:tcPr>
            <w:tcW w:w="1321" w:type="pct"/>
          </w:tcPr>
          <w:p w14:paraId="4B135387">
            <w:pPr>
              <w:ind w:firstLine="0" w:firstLineChars="0"/>
              <w:jc w:val="center"/>
              <w:rPr>
                <w:rFonts w:ascii="宋体" w:hAnsi="宋体" w:cs="宋体"/>
                <w:color w:val="auto"/>
                <w:highlight w:val="none"/>
              </w:rPr>
            </w:pPr>
          </w:p>
        </w:tc>
      </w:tr>
      <w:tr w14:paraId="4BA0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70055E8A">
            <w:pPr>
              <w:ind w:firstLine="0" w:firstLineChars="0"/>
              <w:jc w:val="center"/>
              <w:rPr>
                <w:rFonts w:ascii="宋体" w:hAnsi="宋体" w:cs="宋体"/>
                <w:color w:val="auto"/>
                <w:highlight w:val="none"/>
              </w:rPr>
            </w:pPr>
          </w:p>
        </w:tc>
        <w:tc>
          <w:tcPr>
            <w:tcW w:w="752" w:type="pct"/>
          </w:tcPr>
          <w:p w14:paraId="15E013C8">
            <w:pPr>
              <w:ind w:firstLine="0" w:firstLineChars="0"/>
              <w:jc w:val="center"/>
              <w:rPr>
                <w:rFonts w:ascii="宋体" w:hAnsi="宋体" w:cs="宋体"/>
                <w:color w:val="auto"/>
                <w:highlight w:val="none"/>
              </w:rPr>
            </w:pPr>
          </w:p>
        </w:tc>
        <w:tc>
          <w:tcPr>
            <w:tcW w:w="1008" w:type="pct"/>
          </w:tcPr>
          <w:p w14:paraId="14E30238">
            <w:pPr>
              <w:ind w:firstLine="0" w:firstLineChars="0"/>
              <w:jc w:val="center"/>
              <w:rPr>
                <w:rFonts w:ascii="宋体" w:hAnsi="宋体" w:cs="宋体"/>
                <w:color w:val="auto"/>
                <w:highlight w:val="none"/>
              </w:rPr>
            </w:pPr>
          </w:p>
        </w:tc>
        <w:tc>
          <w:tcPr>
            <w:tcW w:w="752" w:type="pct"/>
          </w:tcPr>
          <w:p w14:paraId="13773DEE">
            <w:pPr>
              <w:ind w:firstLine="0" w:firstLineChars="0"/>
              <w:jc w:val="center"/>
              <w:rPr>
                <w:rFonts w:ascii="宋体" w:hAnsi="宋体" w:cs="宋体"/>
                <w:color w:val="auto"/>
                <w:highlight w:val="none"/>
              </w:rPr>
            </w:pPr>
          </w:p>
        </w:tc>
        <w:tc>
          <w:tcPr>
            <w:tcW w:w="1321" w:type="pct"/>
          </w:tcPr>
          <w:p w14:paraId="69FD6BC1">
            <w:pPr>
              <w:ind w:firstLine="0" w:firstLineChars="0"/>
              <w:jc w:val="center"/>
              <w:rPr>
                <w:rFonts w:ascii="宋体" w:hAnsi="宋体" w:cs="宋体"/>
                <w:color w:val="auto"/>
                <w:highlight w:val="none"/>
              </w:rPr>
            </w:pPr>
          </w:p>
        </w:tc>
      </w:tr>
      <w:tr w14:paraId="17D8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5D2CFE3D">
            <w:pPr>
              <w:ind w:firstLine="0" w:firstLineChars="0"/>
              <w:jc w:val="center"/>
              <w:rPr>
                <w:rFonts w:ascii="宋体" w:hAnsi="宋体" w:cs="宋体"/>
                <w:color w:val="auto"/>
                <w:highlight w:val="none"/>
              </w:rPr>
            </w:pPr>
          </w:p>
        </w:tc>
        <w:tc>
          <w:tcPr>
            <w:tcW w:w="752" w:type="pct"/>
          </w:tcPr>
          <w:p w14:paraId="7FE6956B">
            <w:pPr>
              <w:ind w:firstLine="0" w:firstLineChars="0"/>
              <w:jc w:val="center"/>
              <w:rPr>
                <w:rFonts w:ascii="宋体" w:hAnsi="宋体" w:cs="宋体"/>
                <w:color w:val="auto"/>
                <w:highlight w:val="none"/>
              </w:rPr>
            </w:pPr>
          </w:p>
        </w:tc>
        <w:tc>
          <w:tcPr>
            <w:tcW w:w="1008" w:type="pct"/>
          </w:tcPr>
          <w:p w14:paraId="483E7806">
            <w:pPr>
              <w:ind w:firstLine="0" w:firstLineChars="0"/>
              <w:jc w:val="center"/>
              <w:rPr>
                <w:rFonts w:ascii="宋体" w:hAnsi="宋体" w:cs="宋体"/>
                <w:color w:val="auto"/>
                <w:highlight w:val="none"/>
              </w:rPr>
            </w:pPr>
          </w:p>
        </w:tc>
        <w:tc>
          <w:tcPr>
            <w:tcW w:w="752" w:type="pct"/>
          </w:tcPr>
          <w:p w14:paraId="1287ABD6">
            <w:pPr>
              <w:ind w:firstLine="0" w:firstLineChars="0"/>
              <w:jc w:val="center"/>
              <w:rPr>
                <w:rFonts w:ascii="宋体" w:hAnsi="宋体" w:cs="宋体"/>
                <w:color w:val="auto"/>
                <w:highlight w:val="none"/>
              </w:rPr>
            </w:pPr>
          </w:p>
        </w:tc>
        <w:tc>
          <w:tcPr>
            <w:tcW w:w="1321" w:type="pct"/>
          </w:tcPr>
          <w:p w14:paraId="4EF70696">
            <w:pPr>
              <w:ind w:firstLine="0" w:firstLineChars="0"/>
              <w:jc w:val="center"/>
              <w:rPr>
                <w:rFonts w:ascii="宋体" w:hAnsi="宋体" w:cs="宋体"/>
                <w:color w:val="auto"/>
                <w:highlight w:val="none"/>
              </w:rPr>
            </w:pPr>
          </w:p>
        </w:tc>
      </w:tr>
    </w:tbl>
    <w:p w14:paraId="32BE684F">
      <w:pPr>
        <w:ind w:firstLine="422"/>
        <w:rPr>
          <w:rFonts w:ascii="宋体" w:hAnsi="宋体" w:cs="宋体"/>
          <w:b/>
          <w:bCs/>
          <w:color w:val="auto"/>
          <w:highlight w:val="none"/>
          <w:lang w:val="zh-CN"/>
        </w:rPr>
      </w:pPr>
      <w:r>
        <w:rPr>
          <w:rFonts w:hint="eastAsia" w:ascii="宋体" w:hAnsi="宋体" w:cs="宋体"/>
          <w:b/>
          <w:bCs/>
          <w:color w:val="auto"/>
          <w:highlight w:val="none"/>
        </w:rPr>
        <w:t>注：</w:t>
      </w:r>
      <w:r>
        <w:rPr>
          <w:rFonts w:hint="eastAsia" w:ascii="宋体" w:hAnsi="宋体" w:cs="宋体"/>
          <w:b/>
          <w:bCs/>
          <w:color w:val="auto"/>
          <w:highlight w:val="none"/>
          <w:lang w:val="zh-CN"/>
        </w:rPr>
        <w:t>投标人自2023年5月1日以来（以所提供的合同签订之日为准）</w:t>
      </w:r>
      <w:r>
        <w:rPr>
          <w:rFonts w:hint="eastAsia" w:ascii="宋体" w:hAnsi="宋体" w:cs="宋体"/>
          <w:b/>
          <w:bCs/>
          <w:color w:val="auto"/>
          <w:highlight w:val="none"/>
          <w:lang w:val="en-US" w:eastAsia="zh-CN"/>
        </w:rPr>
        <w:t>相关业绩。</w:t>
      </w:r>
    </w:p>
    <w:p w14:paraId="332FE501">
      <w:pPr>
        <w:ind w:firstLine="422"/>
        <w:rPr>
          <w:rFonts w:ascii="宋体" w:hAnsi="宋体" w:cs="宋体"/>
          <w:b/>
          <w:bCs/>
          <w:color w:val="auto"/>
          <w:highlight w:val="none"/>
          <w:lang w:val="zh-CN"/>
        </w:rPr>
      </w:pPr>
      <w:r>
        <w:rPr>
          <w:rFonts w:hint="eastAsia" w:ascii="宋体" w:hAnsi="宋体" w:cs="宋体"/>
          <w:b/>
          <w:bCs/>
          <w:color w:val="auto"/>
          <w:highlight w:val="none"/>
          <w:lang w:val="zh-CN"/>
        </w:rPr>
        <w:t>须提供①合同扫描件(包括合同首页、签字盖章页及能反映供货范围等相关合同内容的关键页)、②验收记录、③结算发票扫描件，缺一不可并加盖投标人公章。</w:t>
      </w:r>
    </w:p>
    <w:p w14:paraId="27E6FBBE">
      <w:pPr>
        <w:ind w:firstLine="422"/>
        <w:rPr>
          <w:rFonts w:ascii="宋体" w:hAnsi="宋体" w:cs="宋体"/>
          <w:b/>
          <w:bCs/>
          <w:color w:val="auto"/>
          <w:highlight w:val="none"/>
          <w:lang w:val="zh-CN"/>
        </w:rPr>
      </w:pPr>
    </w:p>
    <w:p w14:paraId="23521EB4">
      <w:pPr>
        <w:ind w:firstLine="422"/>
        <w:rPr>
          <w:rFonts w:ascii="宋体" w:hAnsi="宋体" w:cs="宋体"/>
          <w:b/>
          <w:bCs/>
          <w:color w:val="auto"/>
          <w:highlight w:val="none"/>
          <w:lang w:val="zh-CN"/>
        </w:rPr>
      </w:pPr>
    </w:p>
    <w:p w14:paraId="6E02F815">
      <w:pPr>
        <w:spacing w:before="156" w:beforeLines="50"/>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7FCE46D0">
      <w:pPr>
        <w:spacing w:before="156" w:beforeLines="50"/>
        <w:ind w:firstLine="420"/>
        <w:rPr>
          <w:rFonts w:ascii="宋体" w:hAnsi="宋体" w:cs="宋体"/>
          <w:color w:val="auto"/>
          <w:highlight w:val="none"/>
        </w:rPr>
      </w:pPr>
      <w:r>
        <w:rPr>
          <w:rFonts w:hint="eastAsia" w:ascii="宋体" w:hAnsi="宋体" w:cs="宋体"/>
          <w:color w:val="auto"/>
          <w:highlight w:val="none"/>
        </w:rPr>
        <w:t>投标人名称（盖章）：</w:t>
      </w:r>
    </w:p>
    <w:p w14:paraId="744BE97A">
      <w:pPr>
        <w:spacing w:before="156" w:beforeLines="50"/>
        <w:ind w:firstLine="420"/>
        <w:jc w:val="right"/>
        <w:rPr>
          <w:rFonts w:ascii="宋体" w:hAnsi="宋体" w:cs="宋体"/>
          <w:color w:val="auto"/>
          <w:highlight w:val="none"/>
        </w:rPr>
      </w:pPr>
      <w:r>
        <w:rPr>
          <w:rFonts w:hint="eastAsia" w:ascii="宋体" w:hAnsi="宋体" w:cs="宋体"/>
          <w:color w:val="auto"/>
          <w:highlight w:val="none"/>
        </w:rPr>
        <w:t>日期：  年   月   日</w:t>
      </w:r>
    </w:p>
    <w:p w14:paraId="658A0153">
      <w:pPr>
        <w:ind w:firstLine="420"/>
        <w:rPr>
          <w:rFonts w:ascii="宋体" w:hAnsi="宋体" w:cs="宋体"/>
          <w:color w:val="auto"/>
          <w:highlight w:val="none"/>
          <w:lang w:val="zh-CN"/>
        </w:rPr>
      </w:pPr>
    </w:p>
    <w:p w14:paraId="205BD90A">
      <w:pPr>
        <w:pStyle w:val="4"/>
        <w:tabs>
          <w:tab w:val="left" w:pos="297"/>
        </w:tabs>
        <w:ind w:firstLine="0" w:firstLineChars="0"/>
        <w:rPr>
          <w:rFonts w:ascii="宋体" w:hAnsi="宋体" w:cs="宋体"/>
          <w:color w:val="auto"/>
          <w:highlight w:val="none"/>
        </w:rPr>
      </w:pPr>
      <w:r>
        <w:rPr>
          <w:rFonts w:hint="eastAsia" w:ascii="宋体" w:hAnsi="宋体" w:cs="宋体"/>
          <w:color w:val="auto"/>
          <w:highlight w:val="none"/>
          <w:lang w:val="zh-CN"/>
        </w:rPr>
        <w:br w:type="page"/>
      </w:r>
      <w:r>
        <w:rPr>
          <w:rFonts w:hint="eastAsia" w:ascii="宋体" w:hAnsi="宋体" w:cs="宋体"/>
          <w:color w:val="auto"/>
          <w:highlight w:val="none"/>
        </w:rPr>
        <w:t>4.质保期承诺函</w:t>
      </w:r>
    </w:p>
    <w:p w14:paraId="03FD683C">
      <w:pPr>
        <w:pStyle w:val="40"/>
        <w:ind w:firstLine="0" w:firstLineChars="0"/>
        <w:rPr>
          <w:rFonts w:hint="default" w:hAnsi="宋体"/>
          <w:color w:val="auto"/>
          <w:highlight w:val="none"/>
        </w:rPr>
      </w:pPr>
    </w:p>
    <w:p w14:paraId="5BF213D6">
      <w:pPr>
        <w:ind w:firstLine="0" w:firstLineChars="0"/>
        <w:jc w:val="center"/>
        <w:rPr>
          <w:rFonts w:ascii="宋体" w:hAnsi="宋体" w:cs="宋体"/>
          <w:b/>
          <w:bCs/>
          <w:color w:val="auto"/>
          <w:highlight w:val="none"/>
        </w:rPr>
      </w:pPr>
      <w:r>
        <w:rPr>
          <w:rFonts w:hint="eastAsia" w:ascii="宋体" w:hAnsi="宋体" w:cs="宋体"/>
          <w:b/>
          <w:bCs/>
          <w:color w:val="auto"/>
          <w:highlight w:val="none"/>
        </w:rPr>
        <w:t>承诺函</w:t>
      </w:r>
    </w:p>
    <w:p w14:paraId="4813BE78">
      <w:pPr>
        <w:ind w:firstLine="420"/>
        <w:rPr>
          <w:rFonts w:ascii="宋体" w:hAnsi="宋体" w:cs="宋体"/>
          <w:color w:val="auto"/>
          <w:highlight w:val="none"/>
        </w:rPr>
      </w:pPr>
    </w:p>
    <w:p w14:paraId="121BBD42">
      <w:pPr>
        <w:ind w:firstLine="420"/>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（招标人） </w:t>
      </w:r>
    </w:p>
    <w:p w14:paraId="1436FC39">
      <w:pPr>
        <w:ind w:firstLine="420"/>
        <w:rPr>
          <w:rFonts w:ascii="宋体" w:hAnsi="宋体" w:cs="宋体"/>
          <w:color w:val="auto"/>
          <w:highlight w:val="none"/>
        </w:rPr>
      </w:pPr>
      <w:r>
        <w:rPr>
          <w:rFonts w:hint="eastAsia" w:ascii="宋体" w:hAnsi="宋体" w:cs="宋体"/>
          <w:color w:val="auto"/>
          <w:highlight w:val="none"/>
        </w:rPr>
        <w:t>我公司为贵公司</w:t>
      </w:r>
      <w:r>
        <w:rPr>
          <w:rFonts w:hint="eastAsia" w:ascii="宋体" w:hAnsi="宋体" w:cs="宋体"/>
          <w:color w:val="auto"/>
          <w:highlight w:val="none"/>
          <w:u w:val="single"/>
        </w:rPr>
        <w:t xml:space="preserve">         （项目名称、项目编号）</w:t>
      </w:r>
      <w:r>
        <w:rPr>
          <w:rFonts w:hint="eastAsia" w:ascii="宋体" w:hAnsi="宋体" w:cs="宋体"/>
          <w:color w:val="auto"/>
          <w:highlight w:val="none"/>
        </w:rPr>
        <w:t>的投标人，我公司作出如下承诺：</w:t>
      </w:r>
    </w:p>
    <w:p w14:paraId="441567C0">
      <w:pPr>
        <w:ind w:firstLine="420"/>
        <w:rPr>
          <w:rFonts w:ascii="宋体" w:hAnsi="宋体" w:cs="宋体"/>
          <w:color w:val="auto"/>
          <w:highlight w:val="none"/>
        </w:rPr>
      </w:pPr>
      <w:r>
        <w:rPr>
          <w:rFonts w:hint="eastAsia" w:ascii="宋体" w:hAnsi="宋体" w:cs="宋体"/>
          <w:color w:val="auto"/>
          <w:highlight w:val="none"/>
        </w:rPr>
        <w:t>自招标人验收合格后起计，所有设备及其配套辅件质保期为</w:t>
      </w:r>
      <w:r>
        <w:rPr>
          <w:rFonts w:hint="eastAsia" w:ascii="宋体" w:hAnsi="宋体" w:cs="宋体"/>
          <w:color w:val="auto"/>
          <w:highlight w:val="none"/>
          <w:u w:val="single"/>
        </w:rPr>
        <w:t xml:space="preserve">     </w:t>
      </w:r>
      <w:r>
        <w:rPr>
          <w:rFonts w:hint="eastAsia" w:ascii="宋体" w:hAnsi="宋体" w:cs="宋体"/>
          <w:color w:val="auto"/>
          <w:highlight w:val="none"/>
        </w:rPr>
        <w:t>个月。</w:t>
      </w:r>
    </w:p>
    <w:p w14:paraId="1DED4C2A">
      <w:pPr>
        <w:ind w:firstLine="420"/>
        <w:rPr>
          <w:rFonts w:ascii="宋体" w:hAnsi="宋体" w:cs="宋体"/>
          <w:color w:val="auto"/>
          <w:highlight w:val="none"/>
        </w:rPr>
      </w:pPr>
      <w:r>
        <w:rPr>
          <w:rFonts w:hint="eastAsia" w:ascii="宋体" w:hAnsi="宋体" w:cs="宋体"/>
          <w:color w:val="auto"/>
          <w:highlight w:val="none"/>
        </w:rPr>
        <w:t>质保期内因产品材料、工艺、制造质量问题发生故障、损坏的，我公司免费维修、免费更换，产生的人工、交通、耗材、运输等全部费用由我公司承担。如整机维修更换，则质保期自维修完成之日重新起计，如维修更换配件，则配件的质保期自维修完成之日重新起计。</w:t>
      </w:r>
    </w:p>
    <w:p w14:paraId="11FF8C5D">
      <w:pPr>
        <w:ind w:firstLine="420"/>
        <w:rPr>
          <w:rFonts w:ascii="宋体" w:hAnsi="宋体" w:cs="宋体"/>
          <w:color w:val="auto"/>
          <w:highlight w:val="none"/>
        </w:rPr>
      </w:pPr>
      <w:r>
        <w:rPr>
          <w:rFonts w:hint="eastAsia" w:ascii="宋体" w:hAnsi="宋体" w:cs="宋体"/>
          <w:color w:val="auto"/>
          <w:highlight w:val="none"/>
        </w:rPr>
        <w:t>特此承诺！</w:t>
      </w:r>
    </w:p>
    <w:p w14:paraId="38BCC947">
      <w:pPr>
        <w:ind w:firstLine="420"/>
        <w:rPr>
          <w:rFonts w:ascii="宋体" w:hAnsi="宋体" w:cs="宋体"/>
          <w:color w:val="auto"/>
          <w:highlight w:val="none"/>
        </w:rPr>
      </w:pPr>
    </w:p>
    <w:p w14:paraId="42BA7EA4">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02457914">
      <w:pPr>
        <w:ind w:firstLine="420"/>
        <w:rPr>
          <w:rFonts w:ascii="宋体" w:hAnsi="宋体" w:cs="宋体"/>
          <w:color w:val="auto"/>
          <w:highlight w:val="none"/>
        </w:rPr>
      </w:pPr>
      <w:r>
        <w:rPr>
          <w:rFonts w:hint="eastAsia" w:ascii="宋体" w:hAnsi="宋体" w:cs="宋体"/>
          <w:color w:val="auto"/>
          <w:highlight w:val="none"/>
        </w:rPr>
        <w:t>投标人名称（盖章）：</w:t>
      </w:r>
    </w:p>
    <w:p w14:paraId="68A5AE03">
      <w:pPr>
        <w:ind w:firstLine="420"/>
        <w:jc w:val="right"/>
        <w:rPr>
          <w:rFonts w:ascii="宋体" w:hAnsi="宋体" w:cs="宋体"/>
          <w:color w:val="auto"/>
          <w:highlight w:val="none"/>
        </w:rPr>
      </w:pPr>
      <w:r>
        <w:rPr>
          <w:rFonts w:hint="eastAsia" w:ascii="宋体" w:hAnsi="宋体" w:cs="宋体"/>
          <w:color w:val="auto"/>
          <w:highlight w:val="none"/>
        </w:rPr>
        <w:t>日期：  年   月   日</w:t>
      </w:r>
    </w:p>
    <w:p w14:paraId="39F8521D">
      <w:pPr>
        <w:pStyle w:val="40"/>
        <w:ind w:firstLine="0" w:firstLineChars="0"/>
        <w:rPr>
          <w:rFonts w:hint="default" w:hAnsi="宋体"/>
          <w:color w:val="auto"/>
          <w:highlight w:val="none"/>
        </w:rPr>
      </w:pPr>
    </w:p>
    <w:p w14:paraId="3D5F2B36">
      <w:pPr>
        <w:adjustRightInd w:val="0"/>
        <w:snapToGrid w:val="0"/>
        <w:ind w:firstLine="480"/>
        <w:rPr>
          <w:rFonts w:ascii="宋体" w:hAnsi="宋体" w:cs="宋体"/>
          <w:color w:val="auto"/>
          <w:sz w:val="24"/>
          <w:highlight w:val="none"/>
        </w:rPr>
      </w:pPr>
    </w:p>
    <w:p w14:paraId="3B34DDE1">
      <w:pPr>
        <w:pStyle w:val="40"/>
        <w:ind w:firstLine="464"/>
        <w:rPr>
          <w:rFonts w:hint="default" w:hAnsi="宋体"/>
          <w:color w:val="auto"/>
          <w:sz w:val="24"/>
          <w:highlight w:val="none"/>
        </w:rPr>
      </w:pPr>
    </w:p>
    <w:p w14:paraId="5E594ED0">
      <w:pPr>
        <w:pStyle w:val="4"/>
        <w:ind w:firstLine="0" w:firstLineChars="0"/>
        <w:rPr>
          <w:rFonts w:ascii="宋体" w:hAnsi="宋体" w:cs="宋体"/>
          <w:color w:val="auto"/>
          <w:highlight w:val="none"/>
        </w:rPr>
      </w:pPr>
      <w:r>
        <w:rPr>
          <w:rFonts w:hint="eastAsia" w:ascii="宋体" w:hAnsi="宋体" w:cs="宋体"/>
          <w:b w:val="0"/>
          <w:color w:val="auto"/>
          <w:kern w:val="2"/>
          <w:szCs w:val="21"/>
          <w:highlight w:val="none"/>
        </w:rPr>
        <w:br w:type="page"/>
      </w:r>
      <w:r>
        <w:rPr>
          <w:rFonts w:hint="eastAsia" w:ascii="宋体" w:hAnsi="宋体" w:cs="宋体"/>
          <w:color w:val="auto"/>
          <w:highlight w:val="none"/>
        </w:rPr>
        <w:t>5.设备性能参数（格式自拟）；</w:t>
      </w:r>
    </w:p>
    <w:p w14:paraId="23DD0A5A">
      <w:pPr>
        <w:pStyle w:val="4"/>
        <w:ind w:firstLine="0" w:firstLineChars="0"/>
        <w:rPr>
          <w:rFonts w:ascii="宋体" w:hAnsi="宋体" w:cs="宋体"/>
          <w:color w:val="auto"/>
          <w:highlight w:val="none"/>
        </w:rPr>
      </w:pPr>
      <w:r>
        <w:rPr>
          <w:rFonts w:hint="eastAsia" w:ascii="宋体" w:hAnsi="宋体" w:cs="宋体"/>
          <w:color w:val="auto"/>
          <w:highlight w:val="none"/>
        </w:rPr>
        <w:t>6.结构及制造工艺（格式自拟）；</w:t>
      </w:r>
    </w:p>
    <w:p w14:paraId="1346F3B6">
      <w:pPr>
        <w:pStyle w:val="4"/>
        <w:ind w:firstLine="0" w:firstLineChars="0"/>
        <w:rPr>
          <w:rFonts w:hint="eastAsia" w:ascii="宋体" w:hAnsi="宋体" w:cs="宋体"/>
          <w:color w:val="auto"/>
          <w:highlight w:val="none"/>
        </w:rPr>
      </w:pPr>
      <w:r>
        <w:rPr>
          <w:rFonts w:hint="eastAsia" w:ascii="宋体" w:hAnsi="宋体" w:cs="宋体"/>
          <w:color w:val="auto"/>
          <w:highlight w:val="none"/>
        </w:rPr>
        <w:t>7.设备安装、调试、验收的方案和措施（格式自拟）；</w:t>
      </w:r>
    </w:p>
    <w:p w14:paraId="5AA10ED9">
      <w:pPr>
        <w:pStyle w:val="4"/>
        <w:ind w:firstLine="0" w:firstLineChars="0"/>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w:t>
      </w:r>
      <w:r>
        <w:rPr>
          <w:rFonts w:hint="eastAsia" w:ascii="宋体" w:hAnsi="宋体" w:cs="宋体"/>
          <w:color w:val="auto"/>
          <w:szCs w:val="21"/>
          <w:highlight w:val="none"/>
        </w:rPr>
        <w:t>售后服务</w:t>
      </w:r>
      <w:r>
        <w:rPr>
          <w:rFonts w:hint="eastAsia" w:ascii="宋体" w:hAnsi="宋体" w:cs="宋体"/>
          <w:color w:val="auto"/>
          <w:highlight w:val="none"/>
        </w:rPr>
        <w:t>（格式自拟）；</w:t>
      </w:r>
    </w:p>
    <w:p w14:paraId="19D80B8B">
      <w:pPr>
        <w:pStyle w:val="4"/>
        <w:ind w:firstLine="0" w:firstLineChars="0"/>
        <w:rPr>
          <w:rFonts w:ascii="宋体" w:hAnsi="宋体" w:cs="宋体"/>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color w:val="auto"/>
          <w:highlight w:val="none"/>
        </w:rPr>
        <w:t>招标文件第二章招标需求中</w:t>
      </w:r>
      <w:r>
        <w:rPr>
          <w:rFonts w:hint="eastAsia" w:ascii="宋体" w:hAnsi="宋体" w:cs="宋体"/>
          <w:color w:val="auto"/>
          <w:highlight w:val="none"/>
          <w:lang w:val="en-US" w:eastAsia="zh-CN"/>
        </w:rPr>
        <w:t>需要提供的其他资料</w:t>
      </w:r>
      <w:r>
        <w:rPr>
          <w:rFonts w:hint="eastAsia" w:ascii="宋体" w:hAnsi="宋体" w:cs="宋体"/>
          <w:color w:val="auto"/>
          <w:highlight w:val="none"/>
        </w:rPr>
        <w:t>（格式自拟）；</w:t>
      </w:r>
    </w:p>
    <w:p w14:paraId="08C3AB93">
      <w:pPr>
        <w:ind w:firstLine="420"/>
        <w:rPr>
          <w:rFonts w:hint="eastAsia"/>
          <w:color w:val="auto"/>
          <w:highlight w:val="none"/>
        </w:rPr>
      </w:pPr>
      <w:r>
        <w:rPr>
          <w:rFonts w:hint="eastAsia"/>
          <w:color w:val="auto"/>
          <w:highlight w:val="none"/>
          <w:lang w:val="en-US" w:eastAsia="zh-CN"/>
        </w:rPr>
        <w:t>1、</w:t>
      </w:r>
      <w:r>
        <w:rPr>
          <w:rFonts w:hint="eastAsia"/>
          <w:color w:val="auto"/>
          <w:highlight w:val="none"/>
        </w:rPr>
        <w:t xml:space="preserve"> 为保证中标人所供设备的正确安装、启动、安全运行和性能指标，以及相互的工作联系，中标人应选派若干合格的现场服务人员到现场服务。在投标阶段投标人须提供现场服务计划。如果此现场服务人数不能满足今后实际工程需要，中标人应免费增加现场服务人数。中标人现场技术服务人员所发生的一切费用包括工资、差旅费、住宿、办公及通讯联络等均包括在合同报价内。</w:t>
      </w:r>
    </w:p>
    <w:p w14:paraId="15129123">
      <w:pPr>
        <w:ind w:firstLine="420"/>
        <w:rPr>
          <w:rFonts w:hint="eastAsia"/>
          <w:color w:val="auto"/>
          <w:highlight w:val="none"/>
        </w:rPr>
      </w:pPr>
      <w:r>
        <w:rPr>
          <w:rFonts w:hint="eastAsia"/>
          <w:color w:val="auto"/>
          <w:highlight w:val="none"/>
          <w:lang w:val="en-US" w:eastAsia="zh-CN"/>
        </w:rPr>
        <w:t>2、</w:t>
      </w:r>
      <w:r>
        <w:rPr>
          <w:rFonts w:hint="eastAsia"/>
          <w:color w:val="auto"/>
          <w:highlight w:val="none"/>
        </w:rPr>
        <w:t xml:space="preserve"> 在安装和调试前，中标人现场服务人员应向招标人进行技术交底，讲解和示范将要进行操作的程序和方法。在投标阶段，投标人须提供投标人认为重要的工序，由招标人确认。对这些重要工序，中标人现场服务人员要对施工情况进行确认和签证，否则招标人不能进行下一道工序。经中标人确认的工序如因中标人现场服务人员指导错误而出现质量问题，中标人应负全部责任。</w:t>
      </w:r>
    </w:p>
    <w:p w14:paraId="3BC075FF">
      <w:pPr>
        <w:ind w:firstLine="420"/>
        <w:rPr>
          <w:rFonts w:hint="eastAsia"/>
          <w:color w:val="auto"/>
          <w:highlight w:val="none"/>
        </w:rPr>
      </w:pPr>
      <w:r>
        <w:rPr>
          <w:rFonts w:hint="eastAsia"/>
          <w:color w:val="auto"/>
          <w:highlight w:val="none"/>
          <w:lang w:val="en-US" w:eastAsia="zh-CN"/>
        </w:rPr>
        <w:t>3、</w:t>
      </w:r>
      <w:r>
        <w:rPr>
          <w:rFonts w:hint="eastAsia"/>
          <w:color w:val="auto"/>
          <w:highlight w:val="none"/>
        </w:rPr>
        <w:t xml:space="preserve"> 投标人需针对本项目制定相应的培训计划。（投标人投标时提供）</w:t>
      </w:r>
    </w:p>
    <w:p w14:paraId="1688E207">
      <w:pPr>
        <w:ind w:firstLine="420"/>
        <w:rPr>
          <w:rFonts w:hint="eastAsia"/>
          <w:color w:val="auto"/>
          <w:highlight w:val="none"/>
        </w:rPr>
      </w:pPr>
    </w:p>
    <w:p w14:paraId="72AF015A">
      <w:pPr>
        <w:pStyle w:val="4"/>
        <w:ind w:firstLine="0" w:firstLineChars="0"/>
        <w:rPr>
          <w:rFonts w:ascii="宋体" w:hAnsi="宋体" w:cs="宋体"/>
          <w:color w:val="auto"/>
          <w:highlight w:val="none"/>
          <w:lang w:val="zh-CN"/>
        </w:rPr>
      </w:pPr>
      <w:r>
        <w:rPr>
          <w:rFonts w:hint="eastAsia" w:ascii="宋体" w:hAnsi="宋体" w:cs="宋体"/>
          <w:color w:val="auto"/>
          <w:highlight w:val="none"/>
          <w:lang w:val="en-US" w:eastAsia="zh-CN"/>
        </w:rPr>
        <w:t>10</w:t>
      </w:r>
      <w:r>
        <w:rPr>
          <w:rFonts w:hint="eastAsia" w:ascii="宋体" w:hAnsi="宋体" w:cs="宋体"/>
          <w:color w:val="auto"/>
          <w:highlight w:val="none"/>
        </w:rPr>
        <w:t>.商务技术标评审所涉及的其他资料（格式自拟，加盖公章）；</w:t>
      </w:r>
    </w:p>
    <w:p w14:paraId="1E02017E">
      <w:pPr>
        <w:pStyle w:val="4"/>
        <w:ind w:firstLine="0" w:firstLineChars="0"/>
        <w:rPr>
          <w:rFonts w:ascii="宋体" w:hAnsi="宋体" w:cs="宋体"/>
          <w:color w:val="auto"/>
          <w:szCs w:val="21"/>
          <w:highlight w:val="none"/>
          <w:lang w:val="zh-CN"/>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w:t>
      </w:r>
      <w:r>
        <w:rPr>
          <w:rFonts w:hint="eastAsia" w:ascii="宋体" w:hAnsi="宋体" w:cs="宋体"/>
          <w:color w:val="auto"/>
          <w:szCs w:val="21"/>
          <w:highlight w:val="none"/>
          <w:lang w:val="zh-CN"/>
        </w:rPr>
        <w:t>投标人需要特别说明的其他文件（格式自拟，加盖公章）。</w:t>
      </w:r>
    </w:p>
    <w:p w14:paraId="3231560F">
      <w:pPr>
        <w:pStyle w:val="40"/>
        <w:ind w:firstLine="404"/>
        <w:rPr>
          <w:rFonts w:hint="default" w:hAnsi="宋体"/>
          <w:color w:val="auto"/>
          <w:highlight w:val="none"/>
        </w:rPr>
      </w:pPr>
    </w:p>
    <w:p w14:paraId="46FC2F9F">
      <w:pPr>
        <w:pStyle w:val="3"/>
        <w:spacing w:before="156"/>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Cs/>
          <w:color w:val="auto"/>
          <w:highlight w:val="none"/>
        </w:rPr>
        <w:t>第三部分：价格标</w:t>
      </w:r>
    </w:p>
    <w:p w14:paraId="3FC854D1">
      <w:pPr>
        <w:pStyle w:val="4"/>
        <w:ind w:firstLine="0" w:firstLineChars="0"/>
        <w:rPr>
          <w:rFonts w:ascii="宋体" w:hAnsi="宋体" w:cs="宋体"/>
          <w:color w:val="auto"/>
          <w:highlight w:val="none"/>
        </w:rPr>
      </w:pPr>
      <w:r>
        <w:rPr>
          <w:rFonts w:hint="eastAsia" w:ascii="宋体" w:hAnsi="宋体" w:cs="宋体"/>
          <w:color w:val="auto"/>
          <w:highlight w:val="none"/>
        </w:rPr>
        <w:t>1. 投标函</w:t>
      </w:r>
    </w:p>
    <w:p w14:paraId="72FAA7F5">
      <w:pPr>
        <w:snapToGrid w:val="0"/>
        <w:spacing w:before="156" w:beforeLines="50" w:after="50" w:line="240" w:lineRule="auto"/>
        <w:ind w:firstLine="422"/>
        <w:jc w:val="center"/>
        <w:rPr>
          <w:rFonts w:ascii="宋体" w:hAnsi="宋体" w:cs="宋体"/>
          <w:b/>
          <w:color w:val="auto"/>
          <w:szCs w:val="21"/>
          <w:highlight w:val="none"/>
        </w:rPr>
      </w:pPr>
      <w:r>
        <w:rPr>
          <w:rFonts w:hint="eastAsia" w:ascii="宋体" w:hAnsi="宋体" w:cs="宋体"/>
          <w:b/>
          <w:color w:val="auto"/>
          <w:szCs w:val="21"/>
          <w:highlight w:val="none"/>
        </w:rPr>
        <w:t>投标函</w:t>
      </w:r>
    </w:p>
    <w:p w14:paraId="477C52D9">
      <w:pPr>
        <w:adjustRightInd w:val="0"/>
        <w:snapToGrid w:val="0"/>
        <w:ind w:firstLine="420"/>
        <w:rPr>
          <w:rFonts w:ascii="宋体" w:hAnsi="宋体" w:cs="宋体"/>
          <w:color w:val="auto"/>
          <w:highlight w:val="none"/>
        </w:rPr>
      </w:pPr>
      <w:r>
        <w:rPr>
          <w:rFonts w:hint="eastAsia" w:ascii="宋体" w:hAnsi="宋体" w:cs="宋体"/>
          <w:color w:val="auto"/>
          <w:highlight w:val="none"/>
        </w:rPr>
        <w:t>致招标人：</w:t>
      </w:r>
    </w:p>
    <w:p w14:paraId="1D75B3E2">
      <w:pPr>
        <w:adjustRightInd w:val="0"/>
        <w:snapToGrid w:val="0"/>
        <w:ind w:firstLine="422"/>
        <w:rPr>
          <w:rFonts w:ascii="宋体" w:hAnsi="宋体" w:cs="宋体"/>
          <w:color w:val="auto"/>
          <w:szCs w:val="21"/>
          <w:highlight w:val="none"/>
        </w:rPr>
      </w:pPr>
      <w:r>
        <w:rPr>
          <w:rFonts w:hint="eastAsia" w:ascii="宋体" w:hAnsi="宋体" w:cs="宋体"/>
          <w:b/>
          <w:bCs/>
          <w:color w:val="auto"/>
          <w:highlight w:val="none"/>
        </w:rPr>
        <w:t>根据贵方</w:t>
      </w:r>
      <w:r>
        <w:rPr>
          <w:rFonts w:hint="eastAsia" w:ascii="宋体" w:hAnsi="宋体" w:cs="宋体"/>
          <w:color w:val="auto"/>
          <w:highlight w:val="none"/>
          <w:u w:val="single"/>
        </w:rPr>
        <w:t xml:space="preserve">     （项目名称）     </w:t>
      </w:r>
      <w:r>
        <w:rPr>
          <w:rFonts w:hint="eastAsia" w:ascii="宋体" w:hAnsi="宋体" w:cs="宋体"/>
          <w:b/>
          <w:bCs/>
          <w:color w:val="auto"/>
          <w:highlight w:val="none"/>
        </w:rPr>
        <w:t>的招标公告</w:t>
      </w:r>
      <w:r>
        <w:rPr>
          <w:rFonts w:hint="eastAsia" w:ascii="宋体" w:hAnsi="宋体" w:cs="宋体"/>
          <w:b/>
          <w:color w:val="auto"/>
          <w:szCs w:val="21"/>
          <w:highlight w:val="none"/>
        </w:rPr>
        <w:t>（项目编号：</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w:t>
      </w:r>
      <w:r>
        <w:rPr>
          <w:rFonts w:hint="eastAsia" w:ascii="宋体" w:hAnsi="宋体" w:cs="宋体"/>
          <w:color w:val="auto"/>
          <w:szCs w:val="21"/>
          <w:highlight w:val="none"/>
        </w:rPr>
        <w:t>我方递交投标文件</w:t>
      </w:r>
      <w:r>
        <w:rPr>
          <w:rFonts w:hint="eastAsia" w:ascii="宋体" w:hAnsi="宋体" w:cs="宋体"/>
          <w:color w:val="auto"/>
          <w:highlight w:val="none"/>
        </w:rPr>
        <w:t>价格标</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份、</w:t>
      </w:r>
      <w:r>
        <w:rPr>
          <w:rFonts w:hint="eastAsia" w:ascii="宋体" w:hAnsi="宋体" w:cs="宋体"/>
          <w:color w:val="auto"/>
          <w:highlight w:val="none"/>
        </w:rPr>
        <w:t>资信标</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份、</w:t>
      </w:r>
      <w:r>
        <w:rPr>
          <w:rFonts w:hint="eastAsia" w:ascii="宋体" w:hAnsi="宋体" w:cs="宋体"/>
          <w:color w:val="auto"/>
          <w:highlight w:val="none"/>
        </w:rPr>
        <w:t>商务技术标</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份。</w:t>
      </w:r>
    </w:p>
    <w:p w14:paraId="44BD2AAE">
      <w:pPr>
        <w:adjustRightInd w:val="0"/>
        <w:snapToGrid w:val="0"/>
        <w:ind w:firstLine="420"/>
        <w:rPr>
          <w:rFonts w:ascii="宋体" w:hAnsi="宋体" w:cs="宋体"/>
          <w:color w:val="auto"/>
          <w:highlight w:val="none"/>
        </w:rPr>
      </w:pPr>
      <w:r>
        <w:rPr>
          <w:rFonts w:hint="eastAsia" w:ascii="宋体" w:hAnsi="宋体" w:cs="宋体"/>
          <w:color w:val="auto"/>
          <w:highlight w:val="none"/>
        </w:rPr>
        <w:t>据此函，签字代表宣布同意如下：</w:t>
      </w:r>
    </w:p>
    <w:p w14:paraId="47C40F85">
      <w:pPr>
        <w:adjustRightInd w:val="0"/>
        <w:snapToGrid w:val="0"/>
        <w:ind w:firstLine="420"/>
        <w:rPr>
          <w:rFonts w:ascii="宋体" w:hAnsi="宋体" w:cs="宋体"/>
          <w:color w:val="auto"/>
          <w:highlight w:val="none"/>
        </w:rPr>
      </w:pPr>
      <w:r>
        <w:rPr>
          <w:rFonts w:hint="eastAsia" w:ascii="宋体" w:hAnsi="宋体" w:cs="宋体"/>
          <w:color w:val="auto"/>
          <w:highlight w:val="none"/>
        </w:rPr>
        <w:t>1.提供投标须知规定的全部投标文件。</w:t>
      </w:r>
    </w:p>
    <w:p w14:paraId="5B025908">
      <w:pPr>
        <w:adjustRightInd w:val="0"/>
        <w:snapToGrid w:val="0"/>
        <w:ind w:firstLine="420"/>
        <w:rPr>
          <w:rFonts w:ascii="宋体" w:hAnsi="宋体" w:cs="宋体"/>
          <w:color w:val="auto"/>
          <w:highlight w:val="none"/>
        </w:rPr>
      </w:pPr>
      <w:r>
        <w:rPr>
          <w:rFonts w:hint="eastAsia" w:ascii="宋体" w:hAnsi="宋体" w:cs="宋体"/>
          <w:color w:val="auto"/>
          <w:highlight w:val="none"/>
        </w:rPr>
        <w:t>2.总投标价为人民币（大写）：</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5633731A">
      <w:pPr>
        <w:adjustRightInd w:val="0"/>
        <w:snapToGrid w:val="0"/>
        <w:ind w:firstLine="420"/>
        <w:rPr>
          <w:rFonts w:ascii="宋体" w:hAnsi="宋体" w:cs="宋体"/>
          <w:color w:val="auto"/>
          <w:highlight w:val="none"/>
        </w:rPr>
      </w:pPr>
      <w:r>
        <w:rPr>
          <w:rFonts w:hint="eastAsia" w:ascii="宋体" w:hAnsi="宋体" w:cs="宋体"/>
          <w:color w:val="auto"/>
          <w:highlight w:val="none"/>
        </w:rPr>
        <w:t xml:space="preserve">                  （小写）：</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377589B7">
      <w:pPr>
        <w:adjustRightInd w:val="0"/>
        <w:snapToGrid w:val="0"/>
        <w:ind w:firstLine="420"/>
        <w:rPr>
          <w:rFonts w:ascii="宋体" w:hAnsi="宋体" w:cs="宋体"/>
          <w:color w:val="auto"/>
          <w:highlight w:val="none"/>
        </w:rPr>
      </w:pPr>
      <w:r>
        <w:rPr>
          <w:rFonts w:hint="eastAsia" w:ascii="宋体" w:hAnsi="宋体" w:cs="宋体"/>
          <w:color w:val="auto"/>
          <w:highlight w:val="none"/>
        </w:rPr>
        <w:t>3.投标人已详细审查全部“招标文件”，包括修改文件（如有）以及全部参考资料和有关附件，已经了解我方对于招标文件、采购过程、采购结果有依法进行询问、质疑、投诉的权利及相关渠道和要求。</w:t>
      </w:r>
    </w:p>
    <w:p w14:paraId="252A321E">
      <w:pPr>
        <w:adjustRightInd w:val="0"/>
        <w:snapToGrid w:val="0"/>
        <w:ind w:firstLine="420"/>
        <w:rPr>
          <w:rFonts w:ascii="宋体" w:hAnsi="宋体" w:cs="宋体"/>
          <w:color w:val="auto"/>
          <w:highlight w:val="none"/>
        </w:rPr>
      </w:pPr>
      <w:r>
        <w:rPr>
          <w:rFonts w:hint="eastAsia" w:ascii="宋体" w:hAnsi="宋体" w:cs="宋体"/>
          <w:color w:val="auto"/>
          <w:highlight w:val="none"/>
        </w:rPr>
        <w:t>4.投标人在投标之前已经与贵方进行了充分的沟通，完全理解并接受招标文件的各项规定和要求，对招标文件的合理性、合法性不再有异议。</w:t>
      </w:r>
    </w:p>
    <w:p w14:paraId="61EC36FC">
      <w:pPr>
        <w:adjustRightInd w:val="0"/>
        <w:snapToGrid w:val="0"/>
        <w:ind w:firstLine="420"/>
        <w:rPr>
          <w:rFonts w:ascii="宋体" w:hAnsi="宋体" w:cs="宋体"/>
          <w:color w:val="auto"/>
          <w:highlight w:val="none"/>
        </w:rPr>
      </w:pPr>
      <w:r>
        <w:rPr>
          <w:rFonts w:hint="eastAsia" w:ascii="宋体" w:hAnsi="宋体" w:cs="宋体"/>
          <w:color w:val="auto"/>
          <w:highlight w:val="none"/>
        </w:rPr>
        <w:t>5.本投标有效期自开标日起</w:t>
      </w:r>
      <w:r>
        <w:rPr>
          <w:rFonts w:hint="eastAsia" w:ascii="宋体" w:hAnsi="宋体" w:cs="宋体"/>
          <w:color w:val="auto"/>
          <w:highlight w:val="none"/>
          <w:u w:val="single"/>
        </w:rPr>
        <w:t>90</w:t>
      </w:r>
      <w:r>
        <w:rPr>
          <w:rFonts w:hint="eastAsia" w:ascii="宋体" w:hAnsi="宋体" w:cs="宋体"/>
          <w:color w:val="auto"/>
          <w:highlight w:val="none"/>
        </w:rPr>
        <w:t>日历天。</w:t>
      </w:r>
    </w:p>
    <w:p w14:paraId="46CB0DD7">
      <w:pPr>
        <w:adjustRightInd w:val="0"/>
        <w:snapToGrid w:val="0"/>
        <w:ind w:firstLine="420"/>
        <w:rPr>
          <w:rFonts w:ascii="宋体" w:hAnsi="宋体" w:cs="宋体"/>
          <w:color w:val="auto"/>
          <w:highlight w:val="none"/>
        </w:rPr>
      </w:pPr>
      <w:r>
        <w:rPr>
          <w:rFonts w:hint="eastAsia" w:ascii="宋体" w:hAnsi="宋体" w:cs="宋体"/>
          <w:color w:val="auto"/>
          <w:highlight w:val="none"/>
        </w:rPr>
        <w:t>6.如中标，本投标文件至本项目合同履行完毕止均保持有效，本投标人将按“招标文件”及政府采购法律、法规的规定履行合同责任和义务。</w:t>
      </w:r>
    </w:p>
    <w:p w14:paraId="0EBA97DF">
      <w:pPr>
        <w:adjustRightInd w:val="0"/>
        <w:snapToGrid w:val="0"/>
        <w:ind w:firstLine="420"/>
        <w:rPr>
          <w:rFonts w:ascii="宋体" w:hAnsi="宋体" w:cs="宋体"/>
          <w:color w:val="auto"/>
          <w:highlight w:val="none"/>
        </w:rPr>
      </w:pPr>
      <w:r>
        <w:rPr>
          <w:rFonts w:hint="eastAsia" w:ascii="宋体" w:hAnsi="宋体" w:cs="宋体"/>
          <w:color w:val="auto"/>
          <w:highlight w:val="none"/>
        </w:rPr>
        <w:t>7.投标人同意按照贵方要求提供与投标有关的一切数据或资料。</w:t>
      </w:r>
    </w:p>
    <w:p w14:paraId="6E85C559">
      <w:pPr>
        <w:adjustRightInd w:val="0"/>
        <w:snapToGrid w:val="0"/>
        <w:ind w:firstLine="420"/>
        <w:rPr>
          <w:rFonts w:ascii="宋体" w:hAnsi="宋体" w:cs="宋体"/>
          <w:color w:val="auto"/>
          <w:highlight w:val="none"/>
        </w:rPr>
      </w:pPr>
      <w:r>
        <w:rPr>
          <w:rFonts w:hint="eastAsia" w:ascii="宋体" w:hAnsi="宋体" w:cs="宋体"/>
          <w:color w:val="auto"/>
          <w:highlight w:val="none"/>
        </w:rPr>
        <w:t>8.投标人同意按招标文件规定交纳投标保证金、中标服务费，遵守所有有关招标的各项规定。</w:t>
      </w:r>
    </w:p>
    <w:p w14:paraId="4F3D16CB">
      <w:pPr>
        <w:adjustRightInd w:val="0"/>
        <w:snapToGrid w:val="0"/>
        <w:ind w:firstLine="420"/>
        <w:rPr>
          <w:rFonts w:ascii="宋体" w:hAnsi="宋体" w:cs="宋体"/>
          <w:color w:val="auto"/>
          <w:highlight w:val="none"/>
        </w:rPr>
      </w:pPr>
      <w:r>
        <w:rPr>
          <w:rFonts w:hint="eastAsia" w:ascii="宋体" w:hAnsi="宋体" w:cs="宋体"/>
          <w:color w:val="auto"/>
          <w:highlight w:val="none"/>
        </w:rPr>
        <w:t>9.与本投标有关的一切正式往来信函请寄：</w:t>
      </w:r>
    </w:p>
    <w:p w14:paraId="060838FF">
      <w:pPr>
        <w:adjustRightInd w:val="0"/>
        <w:snapToGrid w:val="0"/>
        <w:ind w:firstLine="420"/>
        <w:rPr>
          <w:rFonts w:ascii="宋体" w:hAnsi="宋体" w:cs="宋体"/>
          <w:color w:val="auto"/>
          <w:highlight w:val="none"/>
        </w:rPr>
      </w:pPr>
    </w:p>
    <w:p w14:paraId="7ED39817">
      <w:pPr>
        <w:adjustRightInd w:val="0"/>
        <w:snapToGrid w:val="0"/>
        <w:ind w:firstLine="420"/>
        <w:rPr>
          <w:rFonts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邮编：</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C59E926">
      <w:pPr>
        <w:adjustRightInd w:val="0"/>
        <w:snapToGrid w:val="0"/>
        <w:ind w:firstLine="420"/>
        <w:rPr>
          <w:rFonts w:ascii="宋体" w:hAnsi="宋体" w:cs="宋体"/>
          <w:color w:val="auto"/>
          <w:highlight w:val="none"/>
        </w:rPr>
      </w:pPr>
      <w:r>
        <w:rPr>
          <w:rFonts w:hint="eastAsia" w:ascii="宋体" w:hAnsi="宋体" w:cs="宋体"/>
          <w:color w:val="auto"/>
          <w:highlight w:val="none"/>
        </w:rPr>
        <w:t>电话：______________ 传真：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051D373F">
      <w:pPr>
        <w:adjustRightInd w:val="0"/>
        <w:snapToGrid w:val="0"/>
        <w:ind w:firstLine="420"/>
        <w:rPr>
          <w:rFonts w:ascii="宋体" w:hAnsi="宋体" w:cs="宋体"/>
          <w:color w:val="auto"/>
          <w:highlight w:val="none"/>
        </w:rPr>
      </w:pPr>
      <w:r>
        <w:rPr>
          <w:rFonts w:hint="eastAsia" w:ascii="宋体" w:hAnsi="宋体" w:cs="宋体"/>
          <w:color w:val="auto"/>
          <w:highlight w:val="none"/>
        </w:rPr>
        <w:t>投标人代表姓名：</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职务：______________              </w:t>
      </w:r>
    </w:p>
    <w:p w14:paraId="6A17AAC0">
      <w:pPr>
        <w:adjustRightInd w:val="0"/>
        <w:snapToGrid w:val="0"/>
        <w:ind w:firstLine="420"/>
        <w:rPr>
          <w:rFonts w:ascii="宋体" w:hAnsi="宋体" w:cs="宋体"/>
          <w:color w:val="auto"/>
          <w:highlight w:val="none"/>
        </w:rPr>
      </w:pPr>
      <w:r>
        <w:rPr>
          <w:rFonts w:hint="eastAsia" w:ascii="宋体" w:hAnsi="宋体" w:cs="宋体"/>
          <w:color w:val="auto"/>
          <w:highlight w:val="none"/>
        </w:rPr>
        <w:t xml:space="preserve">投标人名称（公章）： _________________                 </w:t>
      </w:r>
    </w:p>
    <w:p w14:paraId="1EB10114">
      <w:pPr>
        <w:adjustRightInd w:val="0"/>
        <w:snapToGrid w:val="0"/>
        <w:ind w:firstLine="420"/>
        <w:rPr>
          <w:rFonts w:ascii="宋体" w:hAnsi="宋体" w:cs="宋体"/>
          <w:color w:val="auto"/>
          <w:highlight w:val="none"/>
        </w:rPr>
      </w:pPr>
      <w:r>
        <w:rPr>
          <w:rFonts w:hint="eastAsia" w:ascii="宋体" w:hAnsi="宋体" w:cs="宋体"/>
          <w:color w:val="auto"/>
          <w:highlight w:val="none"/>
        </w:rPr>
        <w:t>开户银行：_________________ 银行账号：_________________</w:t>
      </w:r>
    </w:p>
    <w:p w14:paraId="54974745">
      <w:pPr>
        <w:keepNext/>
        <w:keepLines/>
        <w:adjustRightInd w:val="0"/>
        <w:snapToGrid w:val="0"/>
        <w:ind w:firstLine="420"/>
        <w:rPr>
          <w:rFonts w:ascii="宋体" w:hAnsi="宋体" w:cs="宋体"/>
          <w:bCs/>
          <w:color w:val="auto"/>
          <w:highlight w:val="none"/>
        </w:rPr>
      </w:pPr>
      <w:r>
        <w:rPr>
          <w:rFonts w:hint="eastAsia" w:ascii="宋体" w:hAnsi="宋体" w:cs="宋体"/>
          <w:bCs/>
          <w:color w:val="auto"/>
          <w:highlight w:val="none"/>
        </w:rPr>
        <w:t xml:space="preserve">法人代表或授权代表签章： </w:t>
      </w:r>
      <w:r>
        <w:rPr>
          <w:rFonts w:hint="eastAsia" w:ascii="宋体" w:hAnsi="宋体" w:cs="宋体"/>
          <w:bCs/>
          <w:color w:val="auto"/>
          <w:highlight w:val="none"/>
          <w:u w:val="single"/>
        </w:rPr>
        <w:t xml:space="preserve">                              </w:t>
      </w:r>
      <w:r>
        <w:rPr>
          <w:rFonts w:hint="eastAsia" w:ascii="宋体" w:hAnsi="宋体" w:cs="宋体"/>
          <w:bCs/>
          <w:color w:val="auto"/>
          <w:highlight w:val="none"/>
        </w:rPr>
        <w:t xml:space="preserve"> </w:t>
      </w:r>
    </w:p>
    <w:p w14:paraId="5D74ABC8">
      <w:pPr>
        <w:keepNext/>
        <w:keepLines/>
        <w:adjustRightInd w:val="0"/>
        <w:snapToGrid w:val="0"/>
        <w:ind w:firstLine="420"/>
        <w:jc w:val="right"/>
        <w:rPr>
          <w:rFonts w:ascii="宋体" w:hAnsi="宋体" w:cs="宋体"/>
          <w:bCs/>
          <w:color w:val="auto"/>
          <w:highlight w:val="none"/>
        </w:rPr>
      </w:pPr>
    </w:p>
    <w:p w14:paraId="30CA335C">
      <w:pPr>
        <w:keepNext/>
        <w:keepLines/>
        <w:adjustRightInd w:val="0"/>
        <w:snapToGrid w:val="0"/>
        <w:ind w:firstLine="420"/>
        <w:jc w:val="right"/>
        <w:rPr>
          <w:rFonts w:ascii="宋体" w:hAnsi="宋体" w:cs="宋体"/>
          <w:bCs/>
          <w:color w:val="auto"/>
          <w:highlight w:val="none"/>
        </w:rPr>
      </w:pPr>
      <w:r>
        <w:rPr>
          <w:rFonts w:hint="eastAsia" w:ascii="宋体" w:hAnsi="宋体" w:cs="宋体"/>
          <w:bCs/>
          <w:color w:val="auto"/>
          <w:highlight w:val="none"/>
        </w:rPr>
        <w:t>日期：_____年___月___日</w:t>
      </w:r>
    </w:p>
    <w:p w14:paraId="64A16F9A">
      <w:pPr>
        <w:pStyle w:val="4"/>
        <w:ind w:firstLine="0" w:firstLineChars="0"/>
        <w:rPr>
          <w:rFonts w:ascii="宋体" w:hAnsi="宋体" w:cs="宋体"/>
          <w:bCs/>
          <w:color w:val="auto"/>
          <w:highlight w:val="none"/>
        </w:rPr>
      </w:pPr>
      <w:r>
        <w:rPr>
          <w:rFonts w:hint="eastAsia" w:ascii="宋体" w:hAnsi="宋体" w:cs="宋体"/>
          <w:b w:val="0"/>
          <w:bCs/>
          <w:color w:val="auto"/>
          <w:highlight w:val="none"/>
        </w:rPr>
        <w:br w:type="page"/>
      </w:r>
      <w:r>
        <w:rPr>
          <w:rFonts w:hint="eastAsia" w:ascii="宋体" w:hAnsi="宋体" w:cs="宋体"/>
          <w:color w:val="auto"/>
          <w:highlight w:val="none"/>
        </w:rPr>
        <w:t>2. 报价表</w:t>
      </w:r>
    </w:p>
    <w:p w14:paraId="51CB5AD9">
      <w:pPr>
        <w:ind w:firstLine="0" w:firstLineChars="0"/>
        <w:jc w:val="center"/>
        <w:rPr>
          <w:rFonts w:ascii="宋体" w:hAnsi="宋体" w:cs="宋体"/>
          <w:b/>
          <w:bCs/>
          <w:color w:val="auto"/>
          <w:highlight w:val="none"/>
        </w:rPr>
      </w:pPr>
      <w:r>
        <w:rPr>
          <w:rFonts w:hint="eastAsia" w:ascii="宋体" w:hAnsi="宋体" w:cs="宋体"/>
          <w:b/>
          <w:bCs/>
          <w:color w:val="auto"/>
          <w:highlight w:val="none"/>
        </w:rPr>
        <w:t>报价表</w:t>
      </w:r>
    </w:p>
    <w:tbl>
      <w:tblPr>
        <w:tblStyle w:val="41"/>
        <w:tblW w:w="492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2"/>
        <w:gridCol w:w="6866"/>
      </w:tblGrid>
      <w:tr w14:paraId="0F1DF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7" w:hRule="atLeast"/>
          <w:jc w:val="center"/>
        </w:trPr>
        <w:tc>
          <w:tcPr>
            <w:tcW w:w="912" w:type="pct"/>
            <w:vAlign w:val="center"/>
          </w:tcPr>
          <w:p w14:paraId="514A26DF">
            <w:pPr>
              <w:pStyle w:val="17"/>
              <w:snapToGrid w:val="0"/>
              <w:spacing w:line="360" w:lineRule="exact"/>
              <w:ind w:left="0" w:right="0" w:rightChars="0" w:firstLine="0" w:firstLineChars="0"/>
              <w:jc w:val="center"/>
              <w:rPr>
                <w:rFonts w:cs="宋体"/>
                <w:b/>
                <w:color w:val="auto"/>
                <w:sz w:val="21"/>
                <w:szCs w:val="21"/>
                <w:highlight w:val="none"/>
              </w:rPr>
            </w:pPr>
            <w:r>
              <w:rPr>
                <w:rFonts w:hint="eastAsia" w:cs="宋体"/>
                <w:b/>
                <w:color w:val="auto"/>
                <w:sz w:val="21"/>
                <w:szCs w:val="21"/>
                <w:highlight w:val="none"/>
              </w:rPr>
              <w:t>项目名称</w:t>
            </w:r>
          </w:p>
        </w:tc>
        <w:tc>
          <w:tcPr>
            <w:tcW w:w="4087" w:type="pct"/>
            <w:vAlign w:val="center"/>
          </w:tcPr>
          <w:p w14:paraId="0871AF07">
            <w:pPr>
              <w:pStyle w:val="17"/>
              <w:snapToGrid w:val="0"/>
              <w:spacing w:line="360" w:lineRule="exact"/>
              <w:ind w:left="0" w:right="0" w:rightChars="0" w:firstLine="0" w:firstLineChars="0"/>
              <w:jc w:val="center"/>
              <w:rPr>
                <w:rFonts w:cs="宋体"/>
                <w:b/>
                <w:color w:val="auto"/>
                <w:sz w:val="21"/>
                <w:szCs w:val="21"/>
                <w:highlight w:val="none"/>
              </w:rPr>
            </w:pPr>
            <w:r>
              <w:rPr>
                <w:rFonts w:hint="eastAsia" w:cs="宋体"/>
                <w:b/>
                <w:color w:val="auto"/>
                <w:sz w:val="21"/>
                <w:szCs w:val="21"/>
                <w:highlight w:val="none"/>
              </w:rPr>
              <w:t>温州港南岳港务有限公司煤炭、铁矿制样设备采购</w:t>
            </w:r>
          </w:p>
        </w:tc>
      </w:tr>
      <w:tr w14:paraId="189FA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912" w:type="pct"/>
            <w:vAlign w:val="center"/>
          </w:tcPr>
          <w:p w14:paraId="4633454C">
            <w:pPr>
              <w:spacing w:line="360" w:lineRule="exact"/>
              <w:ind w:firstLine="0" w:firstLineChars="0"/>
              <w:jc w:val="center"/>
              <w:rPr>
                <w:rFonts w:cs="宋体"/>
                <w:b/>
                <w:color w:val="auto"/>
                <w:szCs w:val="21"/>
                <w:highlight w:val="none"/>
              </w:rPr>
            </w:pPr>
            <w:r>
              <w:rPr>
                <w:rFonts w:hint="eastAsia" w:cs="宋体"/>
                <w:b/>
                <w:color w:val="auto"/>
                <w:szCs w:val="21"/>
                <w:highlight w:val="none"/>
              </w:rPr>
              <w:t>投标报价</w:t>
            </w:r>
          </w:p>
          <w:p w14:paraId="0C7C4BFB">
            <w:pPr>
              <w:pStyle w:val="17"/>
              <w:snapToGrid w:val="0"/>
              <w:spacing w:line="360" w:lineRule="exact"/>
              <w:ind w:left="0" w:right="0" w:rightChars="0" w:firstLine="0" w:firstLineChars="0"/>
              <w:jc w:val="center"/>
              <w:rPr>
                <w:rFonts w:cs="宋体"/>
                <w:b/>
                <w:color w:val="auto"/>
                <w:sz w:val="21"/>
                <w:szCs w:val="21"/>
                <w:highlight w:val="none"/>
              </w:rPr>
            </w:pPr>
            <w:r>
              <w:rPr>
                <w:rFonts w:hint="eastAsia" w:cs="宋体"/>
                <w:b/>
                <w:color w:val="auto"/>
                <w:sz w:val="21"/>
                <w:szCs w:val="21"/>
                <w:highlight w:val="none"/>
              </w:rPr>
              <w:t>（含税总价）</w:t>
            </w:r>
          </w:p>
        </w:tc>
        <w:tc>
          <w:tcPr>
            <w:tcW w:w="4087" w:type="pct"/>
            <w:vAlign w:val="center"/>
          </w:tcPr>
          <w:p w14:paraId="7DC2F110">
            <w:pPr>
              <w:spacing w:line="360" w:lineRule="exact"/>
              <w:ind w:firstLine="0" w:firstLineChars="0"/>
              <w:jc w:val="left"/>
              <w:rPr>
                <w:rFonts w:ascii="宋体" w:hAnsi="宋体" w:cs="宋体"/>
                <w:bCs/>
                <w:color w:val="auto"/>
                <w:szCs w:val="21"/>
                <w:highlight w:val="none"/>
              </w:rPr>
            </w:pPr>
            <w:r>
              <w:rPr>
                <w:rFonts w:hint="eastAsia" w:ascii="宋体" w:hAnsi="宋体" w:cs="宋体"/>
                <w:bCs/>
                <w:color w:val="auto"/>
                <w:szCs w:val="21"/>
                <w:highlight w:val="none"/>
              </w:rPr>
              <w:t>大写：人民币</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元</w:t>
            </w:r>
          </w:p>
          <w:p w14:paraId="364226C2">
            <w:pPr>
              <w:spacing w:line="360" w:lineRule="exact"/>
              <w:ind w:firstLine="0" w:firstLineChars="0"/>
              <w:jc w:val="left"/>
              <w:rPr>
                <w:rFonts w:cs="宋体"/>
                <w:bCs/>
                <w:color w:val="auto"/>
                <w:szCs w:val="21"/>
                <w:highlight w:val="none"/>
              </w:rPr>
            </w:pPr>
            <w:r>
              <w:rPr>
                <w:rFonts w:hint="eastAsia" w:ascii="宋体" w:hAnsi="宋体" w:cs="宋体"/>
                <w:bCs/>
                <w:color w:val="auto"/>
                <w:szCs w:val="21"/>
                <w:highlight w:val="none"/>
              </w:rPr>
              <w:t>小写：¥</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元</w:t>
            </w:r>
          </w:p>
        </w:tc>
      </w:tr>
      <w:tr w14:paraId="19314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912" w:type="pct"/>
            <w:vAlign w:val="center"/>
          </w:tcPr>
          <w:p w14:paraId="57D617AF">
            <w:pPr>
              <w:ind w:firstLine="0" w:firstLineChars="0"/>
              <w:jc w:val="center"/>
              <w:rPr>
                <w:rFonts w:cs="宋体"/>
                <w:b/>
                <w:bCs/>
                <w:color w:val="auto"/>
                <w:szCs w:val="21"/>
                <w:highlight w:val="none"/>
              </w:rPr>
            </w:pPr>
            <w:r>
              <w:rPr>
                <w:rFonts w:hint="eastAsia"/>
                <w:b/>
                <w:bCs/>
                <w:color w:val="auto"/>
                <w:highlight w:val="none"/>
              </w:rPr>
              <w:t>交付</w:t>
            </w:r>
            <w:r>
              <w:rPr>
                <w:rFonts w:hint="eastAsia" w:ascii="宋体" w:hAnsi="宋体" w:cs="宋体"/>
                <w:b/>
                <w:color w:val="auto"/>
                <w:szCs w:val="21"/>
                <w:highlight w:val="none"/>
              </w:rPr>
              <w:t>时间</w:t>
            </w:r>
          </w:p>
        </w:tc>
        <w:tc>
          <w:tcPr>
            <w:tcW w:w="4087" w:type="pct"/>
            <w:vAlign w:val="center"/>
          </w:tcPr>
          <w:p w14:paraId="282EAD17">
            <w:pPr>
              <w:spacing w:line="360" w:lineRule="exact"/>
              <w:ind w:firstLine="0" w:firstLineChars="0"/>
              <w:jc w:val="left"/>
              <w:rPr>
                <w:rFonts w:ascii="宋体" w:hAnsi="宋体" w:cs="宋体"/>
                <w:bCs/>
                <w:color w:val="auto"/>
                <w:szCs w:val="21"/>
                <w:highlight w:val="none"/>
              </w:rPr>
            </w:pPr>
            <w:r>
              <w:rPr>
                <w:rFonts w:hint="eastAsia" w:ascii="宋体" w:hAnsi="宋体" w:cs="宋体"/>
                <w:bCs/>
                <w:color w:val="auto"/>
                <w:szCs w:val="21"/>
                <w:highlight w:val="none"/>
              </w:rPr>
              <w:t>接招标人书面通知之日起</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日历天内完成供货及就位调试，并通过招标人验收。</w:t>
            </w:r>
          </w:p>
        </w:tc>
      </w:tr>
    </w:tbl>
    <w:p w14:paraId="5D653F7E">
      <w:pPr>
        <w:ind w:firstLine="0" w:firstLineChars="0"/>
        <w:rPr>
          <w:rFonts w:ascii="宋体" w:hAnsi="宋体" w:cs="宋体"/>
          <w:bCs/>
          <w:color w:val="auto"/>
          <w:highlight w:val="none"/>
        </w:rPr>
      </w:pPr>
    </w:p>
    <w:p w14:paraId="72F36182">
      <w:pPr>
        <w:ind w:firstLine="420"/>
        <w:rPr>
          <w:rFonts w:ascii="宋体" w:hAnsi="宋体" w:cs="宋体"/>
          <w:bCs/>
          <w:color w:val="auto"/>
          <w:highlight w:val="none"/>
        </w:rPr>
      </w:pPr>
      <w:r>
        <w:rPr>
          <w:rFonts w:hint="eastAsia" w:ascii="宋体" w:hAnsi="宋体" w:cs="宋体"/>
          <w:bCs/>
          <w:color w:val="auto"/>
          <w:highlight w:val="none"/>
        </w:rPr>
        <w:t>注：1、本次报价包含招标文件规定的货物、增值税（13%）、标准附件、安装、调试、检验、培训、技术服务、运至最终目的地的运费和保险费等所有费用（含平台交易服务费），招标人不再另行支付任何费用。</w:t>
      </w:r>
    </w:p>
    <w:p w14:paraId="388188EF">
      <w:pPr>
        <w:ind w:firstLine="420"/>
        <w:rPr>
          <w:rFonts w:ascii="宋体" w:hAnsi="宋体" w:cs="宋体"/>
          <w:bCs/>
          <w:color w:val="auto"/>
          <w:highlight w:val="none"/>
        </w:rPr>
      </w:pPr>
      <w:r>
        <w:rPr>
          <w:rFonts w:hint="eastAsia" w:ascii="宋体" w:hAnsi="宋体" w:cs="宋体"/>
          <w:bCs/>
          <w:color w:val="auto"/>
          <w:highlight w:val="none"/>
        </w:rPr>
        <w:t>★2.不提供报价表的投标文件将被视为未实质性响应的投标文件。</w:t>
      </w:r>
    </w:p>
    <w:p w14:paraId="1798FA19">
      <w:pPr>
        <w:ind w:firstLine="420"/>
        <w:rPr>
          <w:rFonts w:ascii="宋体" w:hAnsi="宋体" w:cs="宋体"/>
          <w:bCs/>
          <w:color w:val="auto"/>
          <w:highlight w:val="none"/>
        </w:rPr>
      </w:pPr>
      <w:r>
        <w:rPr>
          <w:rFonts w:hint="eastAsia" w:ascii="宋体" w:hAnsi="宋体" w:cs="宋体"/>
          <w:bCs/>
          <w:color w:val="auto"/>
          <w:highlight w:val="none"/>
        </w:rPr>
        <w:t>★3.本次招标最高限价</w:t>
      </w:r>
      <w:r>
        <w:rPr>
          <w:rFonts w:hint="eastAsia" w:ascii="宋体" w:hAnsi="宋体" w:cs="宋体"/>
          <w:bCs/>
          <w:color w:val="auto"/>
          <w:highlight w:val="none"/>
          <w:lang w:val="en-US" w:eastAsia="zh-CN"/>
        </w:rPr>
        <w:t>73</w:t>
      </w:r>
      <w:r>
        <w:rPr>
          <w:rFonts w:hint="eastAsia" w:ascii="宋体" w:hAnsi="宋体" w:cs="宋体"/>
          <w:bCs/>
          <w:color w:val="auto"/>
          <w:highlight w:val="none"/>
        </w:rPr>
        <w:t>万元，超过最高限价的投标为无效标。</w:t>
      </w:r>
    </w:p>
    <w:p w14:paraId="3B800F72">
      <w:pPr>
        <w:ind w:firstLine="420"/>
        <w:rPr>
          <w:rFonts w:ascii="宋体" w:hAnsi="宋体" w:cs="宋体"/>
          <w:bCs/>
          <w:color w:val="auto"/>
          <w:highlight w:val="none"/>
        </w:rPr>
      </w:pPr>
    </w:p>
    <w:p w14:paraId="4474C556">
      <w:pPr>
        <w:ind w:firstLine="420"/>
        <w:rPr>
          <w:rFonts w:ascii="宋体" w:hAnsi="宋体" w:cs="宋体"/>
          <w:bCs/>
          <w:color w:val="auto"/>
          <w:highlight w:val="none"/>
        </w:rPr>
      </w:pPr>
    </w:p>
    <w:p w14:paraId="280D5F49">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3BC08095">
      <w:pPr>
        <w:ind w:firstLine="420"/>
        <w:rPr>
          <w:rFonts w:ascii="宋体" w:hAnsi="宋体" w:cs="宋体"/>
          <w:color w:val="auto"/>
          <w:highlight w:val="none"/>
        </w:rPr>
      </w:pPr>
      <w:r>
        <w:rPr>
          <w:rFonts w:hint="eastAsia" w:ascii="宋体" w:hAnsi="宋体" w:cs="宋体"/>
          <w:color w:val="auto"/>
          <w:highlight w:val="none"/>
        </w:rPr>
        <w:t>投标人名称（盖章）：</w:t>
      </w:r>
    </w:p>
    <w:p w14:paraId="77947670">
      <w:pPr>
        <w:spacing w:before="156" w:beforeLines="50" w:line="240" w:lineRule="auto"/>
        <w:ind w:firstLine="420"/>
        <w:jc w:val="right"/>
        <w:rPr>
          <w:rFonts w:ascii="宋体" w:hAnsi="宋体" w:cs="宋体"/>
          <w:color w:val="auto"/>
          <w:highlight w:val="none"/>
        </w:rPr>
      </w:pPr>
      <w:r>
        <w:rPr>
          <w:rFonts w:hint="eastAsia" w:ascii="宋体" w:hAnsi="宋体" w:cs="宋体"/>
          <w:color w:val="auto"/>
          <w:highlight w:val="none"/>
        </w:rPr>
        <w:t>日期：  年   月   日</w:t>
      </w:r>
    </w:p>
    <w:p w14:paraId="69D42B96">
      <w:pPr>
        <w:pStyle w:val="4"/>
        <w:ind w:firstLine="0" w:firstLineChars="0"/>
        <w:rPr>
          <w:rFonts w:ascii="宋体" w:hAnsi="宋体" w:cs="宋体"/>
          <w:bCs/>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3. 分项报价表</w:t>
      </w:r>
    </w:p>
    <w:p w14:paraId="64887F09">
      <w:pPr>
        <w:ind w:firstLine="0" w:firstLineChars="0"/>
        <w:jc w:val="center"/>
        <w:rPr>
          <w:rFonts w:ascii="宋体" w:hAnsi="宋体" w:cs="宋体"/>
          <w:bCs/>
          <w:color w:val="auto"/>
          <w:highlight w:val="none"/>
        </w:rPr>
      </w:pPr>
      <w:r>
        <w:rPr>
          <w:rFonts w:hint="eastAsia" w:ascii="宋体" w:hAnsi="宋体" w:cs="宋体"/>
          <w:b/>
          <w:bCs/>
          <w:color w:val="auto"/>
          <w:highlight w:val="none"/>
        </w:rPr>
        <w:t>分项报价表</w:t>
      </w:r>
    </w:p>
    <w:tbl>
      <w:tblPr>
        <w:tblStyle w:val="42"/>
        <w:tblW w:w="10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729"/>
        <w:gridCol w:w="1388"/>
        <w:gridCol w:w="1596"/>
        <w:gridCol w:w="1005"/>
        <w:gridCol w:w="832"/>
        <w:gridCol w:w="1190"/>
        <w:gridCol w:w="1182"/>
        <w:gridCol w:w="763"/>
      </w:tblGrid>
      <w:tr w14:paraId="6423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8FA1CCD">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729" w:type="dxa"/>
            <w:vAlign w:val="center"/>
          </w:tcPr>
          <w:p w14:paraId="1989C00F">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设备名称</w:t>
            </w:r>
          </w:p>
        </w:tc>
        <w:tc>
          <w:tcPr>
            <w:tcW w:w="1388" w:type="dxa"/>
            <w:vAlign w:val="center"/>
          </w:tcPr>
          <w:p w14:paraId="13FD7346">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型号和规格</w:t>
            </w:r>
          </w:p>
        </w:tc>
        <w:tc>
          <w:tcPr>
            <w:tcW w:w="1596" w:type="dxa"/>
            <w:vAlign w:val="center"/>
          </w:tcPr>
          <w:p w14:paraId="6739B220">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投标品牌</w:t>
            </w:r>
          </w:p>
        </w:tc>
        <w:tc>
          <w:tcPr>
            <w:tcW w:w="1005" w:type="dxa"/>
            <w:vAlign w:val="center"/>
          </w:tcPr>
          <w:p w14:paraId="323687D4">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单位</w:t>
            </w:r>
          </w:p>
        </w:tc>
        <w:tc>
          <w:tcPr>
            <w:tcW w:w="832" w:type="dxa"/>
            <w:vAlign w:val="center"/>
          </w:tcPr>
          <w:p w14:paraId="6A43E360">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数量</w:t>
            </w:r>
          </w:p>
        </w:tc>
        <w:tc>
          <w:tcPr>
            <w:tcW w:w="1190" w:type="dxa"/>
            <w:vAlign w:val="center"/>
          </w:tcPr>
          <w:p w14:paraId="2534DADB">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投标单价（元）</w:t>
            </w:r>
          </w:p>
        </w:tc>
        <w:tc>
          <w:tcPr>
            <w:tcW w:w="1182" w:type="dxa"/>
            <w:vAlign w:val="center"/>
          </w:tcPr>
          <w:p w14:paraId="58BD0A4C">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合计（元）</w:t>
            </w:r>
          </w:p>
        </w:tc>
        <w:tc>
          <w:tcPr>
            <w:tcW w:w="763" w:type="dxa"/>
            <w:vAlign w:val="center"/>
          </w:tcPr>
          <w:p w14:paraId="7DDE6BC2">
            <w:pPr>
              <w:adjustRightInd w:val="0"/>
              <w:spacing w:line="360" w:lineRule="exact"/>
              <w:ind w:firstLine="0" w:firstLineChars="0"/>
              <w:jc w:val="center"/>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7D5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26" w:type="dxa"/>
            <w:gridSpan w:val="9"/>
            <w:vAlign w:val="center"/>
          </w:tcPr>
          <w:p w14:paraId="341C553C">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煤炭制样设备清单</w:t>
            </w:r>
          </w:p>
        </w:tc>
      </w:tr>
      <w:tr w14:paraId="5332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196952C">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729" w:type="dxa"/>
            <w:vAlign w:val="center"/>
          </w:tcPr>
          <w:p w14:paraId="31B71967">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联合制样机</w:t>
            </w:r>
          </w:p>
        </w:tc>
        <w:tc>
          <w:tcPr>
            <w:tcW w:w="1388" w:type="dxa"/>
            <w:vAlign w:val="center"/>
          </w:tcPr>
          <w:p w14:paraId="7D729753">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77B70F0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2E6D65A8">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1CCCFC45">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4E3B4CA9">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C313BB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2268186A">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1706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A0CF75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1729" w:type="dxa"/>
            <w:vAlign w:val="center"/>
          </w:tcPr>
          <w:p w14:paraId="54710D03">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锤式破碎机</w:t>
            </w:r>
          </w:p>
        </w:tc>
        <w:tc>
          <w:tcPr>
            <w:tcW w:w="1388" w:type="dxa"/>
            <w:vAlign w:val="center"/>
          </w:tcPr>
          <w:p w14:paraId="7C9285A9">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4F7493A9">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38C4D04">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5E50D315">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1B887F1C">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9E8616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9E43F17">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229E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86BD98A">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1729" w:type="dxa"/>
            <w:vAlign w:val="center"/>
          </w:tcPr>
          <w:p w14:paraId="0A68E856">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对辊破碎机</w:t>
            </w:r>
          </w:p>
        </w:tc>
        <w:tc>
          <w:tcPr>
            <w:tcW w:w="1388" w:type="dxa"/>
            <w:vAlign w:val="center"/>
          </w:tcPr>
          <w:p w14:paraId="7342D882">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4DD1FA8">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AA6240B">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6D9DE7FC">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FBF203C">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0268ADF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195AEA00">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79C3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0026D6E">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w:t>
            </w:r>
          </w:p>
        </w:tc>
        <w:tc>
          <w:tcPr>
            <w:tcW w:w="1729" w:type="dxa"/>
            <w:vAlign w:val="center"/>
          </w:tcPr>
          <w:p w14:paraId="6DCA7E3D">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颚式破碎机</w:t>
            </w:r>
          </w:p>
        </w:tc>
        <w:tc>
          <w:tcPr>
            <w:tcW w:w="1388" w:type="dxa"/>
            <w:vAlign w:val="center"/>
          </w:tcPr>
          <w:p w14:paraId="71E9D11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4A0B3AC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6024217A">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46016CC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5A0EA55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1983F5F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068946E0">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7FA4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E4BF3C9">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w:t>
            </w:r>
          </w:p>
        </w:tc>
        <w:tc>
          <w:tcPr>
            <w:tcW w:w="1729" w:type="dxa"/>
            <w:vAlign w:val="center"/>
          </w:tcPr>
          <w:p w14:paraId="5BC52187">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标准振筛机</w:t>
            </w:r>
          </w:p>
        </w:tc>
        <w:tc>
          <w:tcPr>
            <w:tcW w:w="1388" w:type="dxa"/>
            <w:vAlign w:val="center"/>
          </w:tcPr>
          <w:p w14:paraId="0ACDE933">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41711DE6">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36B1467D">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4F0817FE">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27DB766">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3CA2E0A">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6A9EECC5">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4A2E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6A316E3">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6</w:t>
            </w:r>
          </w:p>
        </w:tc>
        <w:tc>
          <w:tcPr>
            <w:tcW w:w="1729" w:type="dxa"/>
            <w:vAlign w:val="center"/>
          </w:tcPr>
          <w:p w14:paraId="1D0FF8E9">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制样粉碎机</w:t>
            </w:r>
          </w:p>
        </w:tc>
        <w:tc>
          <w:tcPr>
            <w:tcW w:w="1388" w:type="dxa"/>
            <w:vAlign w:val="center"/>
          </w:tcPr>
          <w:p w14:paraId="49D873A0">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36D0CE5F">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B169A0B">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54910F8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32F30606">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1E74CF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1065B344">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259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06EB7E6">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7</w:t>
            </w:r>
          </w:p>
        </w:tc>
        <w:tc>
          <w:tcPr>
            <w:tcW w:w="1729" w:type="dxa"/>
            <w:vAlign w:val="center"/>
          </w:tcPr>
          <w:p w14:paraId="005EC9DC">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电动缩分机</w:t>
            </w:r>
          </w:p>
        </w:tc>
        <w:tc>
          <w:tcPr>
            <w:tcW w:w="1388" w:type="dxa"/>
            <w:vAlign w:val="center"/>
          </w:tcPr>
          <w:p w14:paraId="43A6F4E6">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11AAF27B">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A94C885">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0E0B1BBA">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4C99F56F">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411DE3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0B664BC3">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EE8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C74E1EC">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8</w:t>
            </w:r>
          </w:p>
        </w:tc>
        <w:tc>
          <w:tcPr>
            <w:tcW w:w="1729" w:type="dxa"/>
            <w:vAlign w:val="center"/>
          </w:tcPr>
          <w:p w14:paraId="5DF1DC8B">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电热干燥箱</w:t>
            </w:r>
          </w:p>
        </w:tc>
        <w:tc>
          <w:tcPr>
            <w:tcW w:w="1388" w:type="dxa"/>
            <w:vAlign w:val="center"/>
          </w:tcPr>
          <w:p w14:paraId="653D81B7">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428876C">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250DD6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6D485B6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1190" w:type="dxa"/>
            <w:vAlign w:val="center"/>
          </w:tcPr>
          <w:p w14:paraId="0786246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7C5BA4F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6A2718F9">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689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0C5C86E">
            <w:pPr>
              <w:widowControl/>
              <w:spacing w:line="360" w:lineRule="exact"/>
              <w:ind w:firstLine="0" w:firstLineChars="0"/>
              <w:jc w:val="center"/>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p>
        </w:tc>
        <w:tc>
          <w:tcPr>
            <w:tcW w:w="1729" w:type="dxa"/>
            <w:vAlign w:val="center"/>
          </w:tcPr>
          <w:p w14:paraId="55263148">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筛分机</w:t>
            </w:r>
          </w:p>
        </w:tc>
        <w:tc>
          <w:tcPr>
            <w:tcW w:w="1388" w:type="dxa"/>
            <w:vAlign w:val="center"/>
          </w:tcPr>
          <w:p w14:paraId="65AD86E7">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0978BBAC">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25DB98F">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103EF21A">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5A2A2D8F">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636A99B">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3ED2AD6B">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35CF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7D54932">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p>
        </w:tc>
        <w:tc>
          <w:tcPr>
            <w:tcW w:w="1729" w:type="dxa"/>
            <w:vAlign w:val="center"/>
          </w:tcPr>
          <w:p w14:paraId="29982566">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电子台秤</w:t>
            </w:r>
          </w:p>
        </w:tc>
        <w:tc>
          <w:tcPr>
            <w:tcW w:w="1388" w:type="dxa"/>
            <w:vAlign w:val="center"/>
          </w:tcPr>
          <w:p w14:paraId="5796BD49">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7A0866AE">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1F501F7">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0EB1E4A9">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E4FF69B">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157D1BC">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D0B4033">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26B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6E79813">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11</w:t>
            </w:r>
          </w:p>
        </w:tc>
        <w:tc>
          <w:tcPr>
            <w:tcW w:w="1729" w:type="dxa"/>
            <w:vAlign w:val="center"/>
          </w:tcPr>
          <w:p w14:paraId="7054731C">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手推车</w:t>
            </w:r>
          </w:p>
        </w:tc>
        <w:tc>
          <w:tcPr>
            <w:tcW w:w="1388" w:type="dxa"/>
            <w:vAlign w:val="center"/>
          </w:tcPr>
          <w:p w14:paraId="2EECAB1A">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288192D">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0DA82186">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辆</w:t>
            </w:r>
          </w:p>
        </w:tc>
        <w:tc>
          <w:tcPr>
            <w:tcW w:w="832" w:type="dxa"/>
            <w:vAlign w:val="center"/>
          </w:tcPr>
          <w:p w14:paraId="27D778B9">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0028F1A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99AB95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70E99D8D">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56A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B8BEC72">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12</w:t>
            </w:r>
          </w:p>
        </w:tc>
        <w:tc>
          <w:tcPr>
            <w:tcW w:w="1729" w:type="dxa"/>
            <w:vAlign w:val="center"/>
          </w:tcPr>
          <w:p w14:paraId="5BC93AC8">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翻斗车</w:t>
            </w:r>
          </w:p>
        </w:tc>
        <w:tc>
          <w:tcPr>
            <w:tcW w:w="1388" w:type="dxa"/>
            <w:vAlign w:val="center"/>
          </w:tcPr>
          <w:p w14:paraId="07254B81">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34B57153">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4B75BADE">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辆</w:t>
            </w:r>
          </w:p>
        </w:tc>
        <w:tc>
          <w:tcPr>
            <w:tcW w:w="832" w:type="dxa"/>
            <w:vAlign w:val="center"/>
          </w:tcPr>
          <w:p w14:paraId="26ABBD5B">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0C9FF8A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5D7C25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60D4D901">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5B8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A403DBB">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13</w:t>
            </w:r>
          </w:p>
        </w:tc>
        <w:tc>
          <w:tcPr>
            <w:tcW w:w="1729" w:type="dxa"/>
            <w:vAlign w:val="center"/>
          </w:tcPr>
          <w:p w14:paraId="4415E9F1">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不锈钢样品桶</w:t>
            </w:r>
          </w:p>
        </w:tc>
        <w:tc>
          <w:tcPr>
            <w:tcW w:w="1388" w:type="dxa"/>
            <w:vAlign w:val="center"/>
          </w:tcPr>
          <w:p w14:paraId="7D0C94BC">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3C839723">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D792399">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4024B22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25</w:t>
            </w:r>
          </w:p>
        </w:tc>
        <w:tc>
          <w:tcPr>
            <w:tcW w:w="1190" w:type="dxa"/>
            <w:vAlign w:val="center"/>
          </w:tcPr>
          <w:p w14:paraId="30457C0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FB5C8E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3B1C8B16">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402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9B64BAF">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14</w:t>
            </w:r>
          </w:p>
        </w:tc>
        <w:tc>
          <w:tcPr>
            <w:tcW w:w="1729" w:type="dxa"/>
            <w:vAlign w:val="center"/>
          </w:tcPr>
          <w:p w14:paraId="27A17A34">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塑料样品桶</w:t>
            </w:r>
          </w:p>
        </w:tc>
        <w:tc>
          <w:tcPr>
            <w:tcW w:w="1388" w:type="dxa"/>
            <w:vAlign w:val="center"/>
          </w:tcPr>
          <w:p w14:paraId="7460D168">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04E38D39">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CE85C0F">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794CE8BF">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30</w:t>
            </w:r>
          </w:p>
        </w:tc>
        <w:tc>
          <w:tcPr>
            <w:tcW w:w="1190" w:type="dxa"/>
            <w:vAlign w:val="center"/>
          </w:tcPr>
          <w:p w14:paraId="6231FE80">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148E7FF0">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7BACCECD">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1A6A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9BF1778">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15</w:t>
            </w:r>
          </w:p>
        </w:tc>
        <w:tc>
          <w:tcPr>
            <w:tcW w:w="1729" w:type="dxa"/>
            <w:vAlign w:val="center"/>
          </w:tcPr>
          <w:p w14:paraId="6A8CB13E">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煤炭碾样锤</w:t>
            </w:r>
          </w:p>
        </w:tc>
        <w:tc>
          <w:tcPr>
            <w:tcW w:w="1388" w:type="dxa"/>
            <w:vAlign w:val="center"/>
          </w:tcPr>
          <w:p w14:paraId="7F880AF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CEB9D22">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BAC4F5F">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7DE0FBF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7E3EA9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0777023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63E4F1F4">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2523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84EEE0B">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16</w:t>
            </w:r>
          </w:p>
        </w:tc>
        <w:tc>
          <w:tcPr>
            <w:tcW w:w="1729" w:type="dxa"/>
            <w:vAlign w:val="center"/>
          </w:tcPr>
          <w:p w14:paraId="50689B0A">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不锈钢操作台</w:t>
            </w:r>
          </w:p>
        </w:tc>
        <w:tc>
          <w:tcPr>
            <w:tcW w:w="1388" w:type="dxa"/>
            <w:vAlign w:val="center"/>
          </w:tcPr>
          <w:p w14:paraId="01B73674">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1B93131F">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6B5886D">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358B1A15">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4FF25B9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8BB56D6">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5CE5CD22">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F97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09FE0FC">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17</w:t>
            </w:r>
          </w:p>
        </w:tc>
        <w:tc>
          <w:tcPr>
            <w:tcW w:w="1729" w:type="dxa"/>
            <w:vAlign w:val="center"/>
          </w:tcPr>
          <w:p w14:paraId="1FFD19B1">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煤炭粒度标准筛</w:t>
            </w:r>
          </w:p>
        </w:tc>
        <w:tc>
          <w:tcPr>
            <w:tcW w:w="1388" w:type="dxa"/>
            <w:vAlign w:val="center"/>
          </w:tcPr>
          <w:p w14:paraId="427E42D4">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02C40EF">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71D4513">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5ED71696">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518A2EB6">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1AE956C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3D1B42E9">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7628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1D10A59">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18</w:t>
            </w:r>
          </w:p>
        </w:tc>
        <w:tc>
          <w:tcPr>
            <w:tcW w:w="1729" w:type="dxa"/>
            <w:vAlign w:val="center"/>
          </w:tcPr>
          <w:p w14:paraId="498E4B98">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二分器</w:t>
            </w:r>
          </w:p>
        </w:tc>
        <w:tc>
          <w:tcPr>
            <w:tcW w:w="1388" w:type="dxa"/>
            <w:vAlign w:val="center"/>
          </w:tcPr>
          <w:p w14:paraId="573C6D3B">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1E33CF95">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23E92E26">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6F897A04">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7C22554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1BF801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1B7A77C3">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B92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4C12C52">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19</w:t>
            </w:r>
          </w:p>
        </w:tc>
        <w:tc>
          <w:tcPr>
            <w:tcW w:w="1729" w:type="dxa"/>
            <w:vAlign w:val="center"/>
          </w:tcPr>
          <w:p w14:paraId="5C59AA58">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货架</w:t>
            </w:r>
          </w:p>
        </w:tc>
        <w:tc>
          <w:tcPr>
            <w:tcW w:w="1388" w:type="dxa"/>
            <w:vAlign w:val="center"/>
          </w:tcPr>
          <w:p w14:paraId="6BB4B14B">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3708249B">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1F0C50B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467F300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36243EC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8AC3F8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78F774FA">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104C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4B8F78A">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20</w:t>
            </w:r>
          </w:p>
        </w:tc>
        <w:tc>
          <w:tcPr>
            <w:tcW w:w="1729" w:type="dxa"/>
            <w:vAlign w:val="center"/>
          </w:tcPr>
          <w:p w14:paraId="42EB24EE">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实验室分析电子天平</w:t>
            </w:r>
          </w:p>
        </w:tc>
        <w:tc>
          <w:tcPr>
            <w:tcW w:w="1388" w:type="dxa"/>
            <w:vAlign w:val="center"/>
          </w:tcPr>
          <w:p w14:paraId="44A46509">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5DBC7E2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1850A048">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0F1DCD57">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4E98F899">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C84A519">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2576CD89">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7E6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2A5D75F">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21</w:t>
            </w:r>
          </w:p>
        </w:tc>
        <w:tc>
          <w:tcPr>
            <w:tcW w:w="1729" w:type="dxa"/>
            <w:vAlign w:val="center"/>
          </w:tcPr>
          <w:p w14:paraId="31C5094D">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电子秤</w:t>
            </w:r>
          </w:p>
        </w:tc>
        <w:tc>
          <w:tcPr>
            <w:tcW w:w="1388" w:type="dxa"/>
            <w:vAlign w:val="center"/>
          </w:tcPr>
          <w:p w14:paraId="0F1D36BD">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0F8E3101">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1081EB6C">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4A0D77BE">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E1C352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122C5559">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38F3E294">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43D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F27CAA2">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22</w:t>
            </w:r>
          </w:p>
        </w:tc>
        <w:tc>
          <w:tcPr>
            <w:tcW w:w="1729" w:type="dxa"/>
            <w:vAlign w:val="center"/>
          </w:tcPr>
          <w:p w14:paraId="434E772C">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不锈钢样品托盘</w:t>
            </w:r>
          </w:p>
        </w:tc>
        <w:tc>
          <w:tcPr>
            <w:tcW w:w="1388" w:type="dxa"/>
            <w:vAlign w:val="center"/>
          </w:tcPr>
          <w:p w14:paraId="130FCE70">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19C80F49">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68B4161E">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39C91891">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10</w:t>
            </w:r>
          </w:p>
        </w:tc>
        <w:tc>
          <w:tcPr>
            <w:tcW w:w="1190" w:type="dxa"/>
            <w:vAlign w:val="center"/>
          </w:tcPr>
          <w:p w14:paraId="52C0A84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0B6FA5C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51B9897B">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6C9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6D18A99">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23</w:t>
            </w:r>
          </w:p>
        </w:tc>
        <w:tc>
          <w:tcPr>
            <w:tcW w:w="1729" w:type="dxa"/>
            <w:vAlign w:val="center"/>
          </w:tcPr>
          <w:p w14:paraId="6A3F1C62">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样品铲</w:t>
            </w:r>
          </w:p>
        </w:tc>
        <w:tc>
          <w:tcPr>
            <w:tcW w:w="1388" w:type="dxa"/>
            <w:vAlign w:val="center"/>
          </w:tcPr>
          <w:p w14:paraId="14AD4EF6">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7E85BA1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5B152178">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17426F21">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1190" w:type="dxa"/>
            <w:vAlign w:val="center"/>
          </w:tcPr>
          <w:p w14:paraId="726D914B">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405A563">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201374C0">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732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963771E">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24</w:t>
            </w:r>
          </w:p>
        </w:tc>
        <w:tc>
          <w:tcPr>
            <w:tcW w:w="1729" w:type="dxa"/>
            <w:vAlign w:val="center"/>
          </w:tcPr>
          <w:p w14:paraId="5C9960E9">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样品柜</w:t>
            </w:r>
          </w:p>
        </w:tc>
        <w:tc>
          <w:tcPr>
            <w:tcW w:w="1388" w:type="dxa"/>
            <w:vAlign w:val="center"/>
          </w:tcPr>
          <w:p w14:paraId="70CBF21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709DA4AD">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1566E89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76F528F1">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w:t>
            </w:r>
          </w:p>
        </w:tc>
        <w:tc>
          <w:tcPr>
            <w:tcW w:w="1190" w:type="dxa"/>
            <w:vAlign w:val="center"/>
          </w:tcPr>
          <w:p w14:paraId="3CE8553A">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0260548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06308003">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C40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7300265">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25</w:t>
            </w:r>
          </w:p>
        </w:tc>
        <w:tc>
          <w:tcPr>
            <w:tcW w:w="1729" w:type="dxa"/>
            <w:vAlign w:val="center"/>
          </w:tcPr>
          <w:p w14:paraId="00F3B368">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办公桌椅</w:t>
            </w:r>
          </w:p>
        </w:tc>
        <w:tc>
          <w:tcPr>
            <w:tcW w:w="1388" w:type="dxa"/>
            <w:vAlign w:val="center"/>
          </w:tcPr>
          <w:p w14:paraId="3D30D7E8">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7A274CDC">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02A4C17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692BAA5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1190" w:type="dxa"/>
            <w:vAlign w:val="center"/>
          </w:tcPr>
          <w:p w14:paraId="018E76A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46FBD51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5E213C2A">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A50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DAFB53A">
            <w:pPr>
              <w:widowControl/>
              <w:spacing w:line="360" w:lineRule="exact"/>
              <w:ind w:firstLine="0" w:firstLineChars="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26</w:t>
            </w:r>
          </w:p>
        </w:tc>
        <w:tc>
          <w:tcPr>
            <w:tcW w:w="1729" w:type="dxa"/>
            <w:vAlign w:val="center"/>
          </w:tcPr>
          <w:p w14:paraId="3ABA8210">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文件柜</w:t>
            </w:r>
          </w:p>
        </w:tc>
        <w:tc>
          <w:tcPr>
            <w:tcW w:w="1388" w:type="dxa"/>
            <w:vAlign w:val="center"/>
          </w:tcPr>
          <w:p w14:paraId="68D9FB81">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47A7E97F">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35E24CE2">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个</w:t>
            </w:r>
          </w:p>
        </w:tc>
        <w:tc>
          <w:tcPr>
            <w:tcW w:w="832" w:type="dxa"/>
            <w:vAlign w:val="center"/>
          </w:tcPr>
          <w:p w14:paraId="06CD8825">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1190" w:type="dxa"/>
            <w:vAlign w:val="center"/>
          </w:tcPr>
          <w:p w14:paraId="1D4ADBDB">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7F75AF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05F6837">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3CD7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26" w:type="dxa"/>
            <w:gridSpan w:val="9"/>
            <w:vAlign w:val="center"/>
          </w:tcPr>
          <w:p w14:paraId="048BB550">
            <w:pPr>
              <w:widowControl/>
              <w:spacing w:line="36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铁矿制样设备清单</w:t>
            </w:r>
          </w:p>
        </w:tc>
      </w:tr>
      <w:tr w14:paraId="1AE6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7A94F38">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1</w:t>
            </w:r>
          </w:p>
        </w:tc>
        <w:tc>
          <w:tcPr>
            <w:tcW w:w="1729" w:type="dxa"/>
            <w:vAlign w:val="center"/>
          </w:tcPr>
          <w:p w14:paraId="6B3B0FD3">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对辊破碎机</w:t>
            </w:r>
          </w:p>
        </w:tc>
        <w:tc>
          <w:tcPr>
            <w:tcW w:w="1388" w:type="dxa"/>
            <w:vAlign w:val="center"/>
          </w:tcPr>
          <w:p w14:paraId="1D444CBC">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425EFC8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2C88C395">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台</w:t>
            </w:r>
          </w:p>
        </w:tc>
        <w:tc>
          <w:tcPr>
            <w:tcW w:w="832" w:type="dxa"/>
            <w:vAlign w:val="center"/>
          </w:tcPr>
          <w:p w14:paraId="69A17679">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1</w:t>
            </w:r>
          </w:p>
        </w:tc>
        <w:tc>
          <w:tcPr>
            <w:tcW w:w="1190" w:type="dxa"/>
            <w:vAlign w:val="center"/>
          </w:tcPr>
          <w:p w14:paraId="52AE6286">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6373B9AB">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013C48F">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07C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BF4ED92">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2</w:t>
            </w:r>
          </w:p>
        </w:tc>
        <w:tc>
          <w:tcPr>
            <w:tcW w:w="1729" w:type="dxa"/>
            <w:vAlign w:val="center"/>
          </w:tcPr>
          <w:p w14:paraId="3C47FAE2">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颚式破碎机</w:t>
            </w:r>
          </w:p>
        </w:tc>
        <w:tc>
          <w:tcPr>
            <w:tcW w:w="1388" w:type="dxa"/>
            <w:vAlign w:val="center"/>
          </w:tcPr>
          <w:p w14:paraId="39D137A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07162FA8">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11E382EB">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台</w:t>
            </w:r>
          </w:p>
        </w:tc>
        <w:tc>
          <w:tcPr>
            <w:tcW w:w="832" w:type="dxa"/>
            <w:vAlign w:val="center"/>
          </w:tcPr>
          <w:p w14:paraId="4C22A98A">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1</w:t>
            </w:r>
          </w:p>
        </w:tc>
        <w:tc>
          <w:tcPr>
            <w:tcW w:w="1190" w:type="dxa"/>
            <w:vAlign w:val="center"/>
          </w:tcPr>
          <w:p w14:paraId="0310677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593909AF">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22ADA7DF">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650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F60202E">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3</w:t>
            </w:r>
          </w:p>
        </w:tc>
        <w:tc>
          <w:tcPr>
            <w:tcW w:w="1729" w:type="dxa"/>
            <w:vAlign w:val="center"/>
          </w:tcPr>
          <w:p w14:paraId="2B1539FB">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制样粉碎机</w:t>
            </w:r>
          </w:p>
        </w:tc>
        <w:tc>
          <w:tcPr>
            <w:tcW w:w="1388" w:type="dxa"/>
            <w:vAlign w:val="center"/>
          </w:tcPr>
          <w:p w14:paraId="5C8AC50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20B6C21D">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69D6E570">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台</w:t>
            </w:r>
          </w:p>
        </w:tc>
        <w:tc>
          <w:tcPr>
            <w:tcW w:w="832" w:type="dxa"/>
            <w:vAlign w:val="center"/>
          </w:tcPr>
          <w:p w14:paraId="7EF3DA62">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1</w:t>
            </w:r>
          </w:p>
        </w:tc>
        <w:tc>
          <w:tcPr>
            <w:tcW w:w="1190" w:type="dxa"/>
            <w:vAlign w:val="center"/>
          </w:tcPr>
          <w:p w14:paraId="6BB8F4D1">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3591AD6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9FB754E">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983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3F27582">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4</w:t>
            </w:r>
          </w:p>
        </w:tc>
        <w:tc>
          <w:tcPr>
            <w:tcW w:w="1729" w:type="dxa"/>
            <w:vAlign w:val="center"/>
          </w:tcPr>
          <w:p w14:paraId="4442FE1D">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人工用台秤</w:t>
            </w:r>
          </w:p>
        </w:tc>
        <w:tc>
          <w:tcPr>
            <w:tcW w:w="1388" w:type="dxa"/>
            <w:vAlign w:val="center"/>
          </w:tcPr>
          <w:p w14:paraId="2B874EE4">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6BF426EC">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4ACDE92D">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832" w:type="dxa"/>
            <w:vAlign w:val="center"/>
          </w:tcPr>
          <w:p w14:paraId="5C797865">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7091DFF8">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F863A92">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10BC21F9">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946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F74BE67">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5</w:t>
            </w:r>
          </w:p>
        </w:tc>
        <w:tc>
          <w:tcPr>
            <w:tcW w:w="1729" w:type="dxa"/>
            <w:vAlign w:val="center"/>
          </w:tcPr>
          <w:p w14:paraId="1FDD63C7">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不锈钢样品桶</w:t>
            </w:r>
          </w:p>
        </w:tc>
        <w:tc>
          <w:tcPr>
            <w:tcW w:w="1388" w:type="dxa"/>
            <w:vAlign w:val="center"/>
          </w:tcPr>
          <w:p w14:paraId="7ADA03BF">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10C20128">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7F7FF2FB">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6857F6BB">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01E2DBA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DF4C87D">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14907ED">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4B3D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F9CCC99">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6</w:t>
            </w:r>
          </w:p>
        </w:tc>
        <w:tc>
          <w:tcPr>
            <w:tcW w:w="1729" w:type="dxa"/>
            <w:vAlign w:val="center"/>
          </w:tcPr>
          <w:p w14:paraId="4E40CAE3">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铁矿取样铲</w:t>
            </w:r>
          </w:p>
        </w:tc>
        <w:tc>
          <w:tcPr>
            <w:tcW w:w="1388" w:type="dxa"/>
            <w:vAlign w:val="center"/>
          </w:tcPr>
          <w:p w14:paraId="42C9E052">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6306F9EE">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34078B1F">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1598C8FB">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5F80C583">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24C1BB3">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3A91A271">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714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019D7F6">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7</w:t>
            </w:r>
          </w:p>
        </w:tc>
        <w:tc>
          <w:tcPr>
            <w:tcW w:w="1729" w:type="dxa"/>
            <w:vAlign w:val="center"/>
          </w:tcPr>
          <w:p w14:paraId="27A0DBC1">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铁楸</w:t>
            </w:r>
          </w:p>
        </w:tc>
        <w:tc>
          <w:tcPr>
            <w:tcW w:w="1388" w:type="dxa"/>
            <w:vAlign w:val="center"/>
          </w:tcPr>
          <w:p w14:paraId="122C7744">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212CB97F">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22853D58">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40882DFA">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1D48512E">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15E78DD3">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777C826A">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520D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02D2E78">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8</w:t>
            </w:r>
          </w:p>
        </w:tc>
        <w:tc>
          <w:tcPr>
            <w:tcW w:w="1729" w:type="dxa"/>
            <w:vAlign w:val="center"/>
          </w:tcPr>
          <w:p w14:paraId="3A598BBC">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不锈钢样品托盘</w:t>
            </w:r>
          </w:p>
        </w:tc>
        <w:tc>
          <w:tcPr>
            <w:tcW w:w="1388" w:type="dxa"/>
            <w:vAlign w:val="center"/>
          </w:tcPr>
          <w:p w14:paraId="79518DF3">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32A8442E">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23742631">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832" w:type="dxa"/>
            <w:vAlign w:val="center"/>
          </w:tcPr>
          <w:p w14:paraId="5FFCD0C9">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2CE12C35">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7948381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103572D9">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02DE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AEA859D">
            <w:pPr>
              <w:pStyle w:val="142"/>
              <w:adjustRightInd/>
              <w:spacing w:line="400" w:lineRule="exact"/>
              <w:ind w:firstLine="0" w:firstLineChars="0"/>
              <w:jc w:val="center"/>
              <w:outlineLvl w:val="3"/>
              <w:rPr>
                <w:rFonts w:ascii="宋体" w:hAnsi="宋体" w:cs="宋体"/>
                <w:color w:val="auto"/>
                <w:szCs w:val="21"/>
                <w:highlight w:val="none"/>
                <w:lang w:bidi="ar"/>
              </w:rPr>
            </w:pPr>
            <w:r>
              <w:rPr>
                <w:rFonts w:hint="eastAsia" w:ascii="宋体" w:hAnsi="宋体" w:cs="宋体"/>
                <w:color w:val="auto"/>
                <w:szCs w:val="21"/>
                <w:highlight w:val="none"/>
              </w:rPr>
              <w:t>9</w:t>
            </w:r>
          </w:p>
        </w:tc>
        <w:tc>
          <w:tcPr>
            <w:tcW w:w="1729" w:type="dxa"/>
            <w:vAlign w:val="center"/>
          </w:tcPr>
          <w:p w14:paraId="1BBFD845">
            <w:pPr>
              <w:widowControl/>
              <w:spacing w:line="360" w:lineRule="exact"/>
              <w:ind w:firstLine="0" w:firstLineChars="0"/>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样品柜</w:t>
            </w:r>
          </w:p>
        </w:tc>
        <w:tc>
          <w:tcPr>
            <w:tcW w:w="1388" w:type="dxa"/>
            <w:vAlign w:val="center"/>
          </w:tcPr>
          <w:p w14:paraId="5E7343C9">
            <w:pPr>
              <w:widowControl/>
              <w:spacing w:line="360" w:lineRule="exact"/>
              <w:ind w:firstLine="0" w:firstLineChars="0"/>
              <w:textAlignment w:val="center"/>
              <w:rPr>
                <w:rFonts w:ascii="宋体" w:hAnsi="宋体" w:cs="宋体"/>
                <w:color w:val="auto"/>
                <w:kern w:val="0"/>
                <w:szCs w:val="21"/>
                <w:highlight w:val="none"/>
                <w:lang w:bidi="ar"/>
              </w:rPr>
            </w:pPr>
          </w:p>
        </w:tc>
        <w:tc>
          <w:tcPr>
            <w:tcW w:w="1596" w:type="dxa"/>
            <w:vAlign w:val="center"/>
          </w:tcPr>
          <w:p w14:paraId="2B8E07DA">
            <w:pPr>
              <w:widowControl/>
              <w:spacing w:line="360" w:lineRule="exact"/>
              <w:ind w:firstLine="0" w:firstLineChars="0"/>
              <w:textAlignment w:val="center"/>
              <w:rPr>
                <w:rFonts w:ascii="宋体" w:hAnsi="宋体" w:cs="宋体"/>
                <w:color w:val="auto"/>
                <w:kern w:val="0"/>
                <w:szCs w:val="21"/>
                <w:highlight w:val="none"/>
                <w:lang w:bidi="ar"/>
              </w:rPr>
            </w:pPr>
          </w:p>
        </w:tc>
        <w:tc>
          <w:tcPr>
            <w:tcW w:w="1005" w:type="dxa"/>
            <w:vAlign w:val="center"/>
          </w:tcPr>
          <w:p w14:paraId="067B5095">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个</w:t>
            </w:r>
          </w:p>
        </w:tc>
        <w:tc>
          <w:tcPr>
            <w:tcW w:w="832" w:type="dxa"/>
            <w:vAlign w:val="center"/>
          </w:tcPr>
          <w:p w14:paraId="6D2A1AA9">
            <w:pPr>
              <w:widowControl/>
              <w:spacing w:line="400" w:lineRule="exact"/>
              <w:ind w:firstLine="0" w:firstLineChars="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90" w:type="dxa"/>
            <w:vAlign w:val="center"/>
          </w:tcPr>
          <w:p w14:paraId="065B6BE3">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1182" w:type="dxa"/>
            <w:vAlign w:val="center"/>
          </w:tcPr>
          <w:p w14:paraId="21361BC7">
            <w:pPr>
              <w:widowControl/>
              <w:spacing w:line="360" w:lineRule="exact"/>
              <w:ind w:firstLine="0" w:firstLineChars="0"/>
              <w:jc w:val="center"/>
              <w:textAlignment w:val="center"/>
              <w:rPr>
                <w:rFonts w:ascii="宋体" w:hAnsi="宋体" w:cs="宋体"/>
                <w:color w:val="auto"/>
                <w:kern w:val="0"/>
                <w:szCs w:val="21"/>
                <w:highlight w:val="none"/>
                <w:lang w:bidi="ar"/>
              </w:rPr>
            </w:pPr>
          </w:p>
        </w:tc>
        <w:tc>
          <w:tcPr>
            <w:tcW w:w="763" w:type="dxa"/>
            <w:vAlign w:val="center"/>
          </w:tcPr>
          <w:p w14:paraId="4828C24F">
            <w:pPr>
              <w:widowControl/>
              <w:spacing w:line="360" w:lineRule="exact"/>
              <w:ind w:firstLine="0" w:firstLineChars="0"/>
              <w:jc w:val="center"/>
              <w:textAlignment w:val="center"/>
              <w:rPr>
                <w:rFonts w:ascii="宋体" w:hAnsi="宋体" w:cs="宋体"/>
                <w:color w:val="auto"/>
                <w:kern w:val="0"/>
                <w:szCs w:val="21"/>
                <w:highlight w:val="none"/>
                <w:lang w:bidi="ar"/>
              </w:rPr>
            </w:pPr>
          </w:p>
        </w:tc>
      </w:tr>
      <w:tr w14:paraId="6E11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758" w:type="dxa"/>
            <w:gridSpan w:val="3"/>
            <w:vAlign w:val="center"/>
          </w:tcPr>
          <w:p w14:paraId="75E73ABE">
            <w:pPr>
              <w:spacing w:line="360" w:lineRule="exact"/>
              <w:ind w:firstLine="0" w:firstLineChars="0"/>
              <w:jc w:val="center"/>
              <w:rPr>
                <w:rFonts w:cs="宋体"/>
                <w:b/>
                <w:color w:val="auto"/>
                <w:szCs w:val="21"/>
                <w:highlight w:val="none"/>
              </w:rPr>
            </w:pPr>
            <w:r>
              <w:rPr>
                <w:rFonts w:hint="eastAsia" w:cs="宋体"/>
                <w:b/>
                <w:color w:val="auto"/>
                <w:szCs w:val="21"/>
                <w:highlight w:val="none"/>
              </w:rPr>
              <w:t>投标报价</w:t>
            </w:r>
          </w:p>
          <w:p w14:paraId="7FBDD5C5">
            <w:pPr>
              <w:pStyle w:val="17"/>
              <w:snapToGrid w:val="0"/>
              <w:spacing w:line="360" w:lineRule="exact"/>
              <w:ind w:left="0" w:right="0" w:rightChars="0" w:firstLine="0" w:firstLineChars="0"/>
              <w:jc w:val="center"/>
              <w:rPr>
                <w:rFonts w:cs="宋体"/>
                <w:color w:val="auto"/>
                <w:kern w:val="0"/>
                <w:sz w:val="21"/>
                <w:szCs w:val="21"/>
                <w:highlight w:val="none"/>
                <w:lang w:bidi="ar"/>
              </w:rPr>
            </w:pPr>
            <w:r>
              <w:rPr>
                <w:rFonts w:hint="eastAsia" w:cs="宋体"/>
                <w:b/>
                <w:color w:val="auto"/>
                <w:sz w:val="21"/>
                <w:szCs w:val="21"/>
                <w:highlight w:val="none"/>
              </w:rPr>
              <w:t>（含税总价）</w:t>
            </w:r>
          </w:p>
        </w:tc>
        <w:tc>
          <w:tcPr>
            <w:tcW w:w="6568" w:type="dxa"/>
            <w:gridSpan w:val="6"/>
            <w:vAlign w:val="center"/>
          </w:tcPr>
          <w:p w14:paraId="0AD30E87">
            <w:pPr>
              <w:spacing w:line="36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大写：人民币</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元</w:t>
            </w:r>
          </w:p>
          <w:p w14:paraId="70648450">
            <w:pPr>
              <w:spacing w:line="360" w:lineRule="exact"/>
              <w:ind w:firstLine="0" w:firstLineChars="0"/>
              <w:jc w:val="center"/>
              <w:rPr>
                <w:rFonts w:ascii="宋体" w:hAnsi="宋体" w:cs="宋体"/>
                <w:color w:val="auto"/>
                <w:kern w:val="0"/>
                <w:szCs w:val="21"/>
                <w:highlight w:val="none"/>
                <w:lang w:bidi="ar"/>
              </w:rPr>
            </w:pPr>
            <w:r>
              <w:rPr>
                <w:rFonts w:hint="eastAsia" w:ascii="宋体" w:hAnsi="宋体" w:cs="宋体"/>
                <w:bCs/>
                <w:color w:val="auto"/>
                <w:szCs w:val="21"/>
                <w:highlight w:val="none"/>
              </w:rPr>
              <w:t>小写：¥</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元</w:t>
            </w:r>
          </w:p>
        </w:tc>
      </w:tr>
    </w:tbl>
    <w:p w14:paraId="2E36E861">
      <w:pPr>
        <w:ind w:firstLine="0" w:firstLineChars="0"/>
        <w:rPr>
          <w:rFonts w:ascii="宋体" w:hAnsi="宋体" w:cs="宋体"/>
          <w:bCs/>
          <w:color w:val="auto"/>
          <w:highlight w:val="none"/>
        </w:rPr>
      </w:pPr>
    </w:p>
    <w:p w14:paraId="7277550C">
      <w:pPr>
        <w:ind w:firstLine="420"/>
        <w:rPr>
          <w:rFonts w:ascii="宋体" w:hAnsi="宋体" w:cs="宋体"/>
          <w:bCs/>
          <w:color w:val="auto"/>
          <w:highlight w:val="none"/>
        </w:rPr>
      </w:pPr>
      <w:r>
        <w:rPr>
          <w:rFonts w:hint="eastAsia" w:ascii="宋体" w:hAnsi="宋体" w:cs="宋体"/>
          <w:bCs/>
          <w:color w:val="auto"/>
          <w:highlight w:val="none"/>
        </w:rPr>
        <w:t>注：1.在满足招标文件要求的前提下，若由于投标人自身的原因造成缺报、漏报的风险均由投标人自行承担。</w:t>
      </w:r>
    </w:p>
    <w:p w14:paraId="450D95CB">
      <w:pPr>
        <w:ind w:firstLine="420"/>
        <w:rPr>
          <w:rFonts w:ascii="宋体" w:hAnsi="宋体" w:cs="宋体"/>
          <w:bCs/>
          <w:color w:val="auto"/>
          <w:highlight w:val="none"/>
        </w:rPr>
      </w:pPr>
      <w:r>
        <w:rPr>
          <w:rFonts w:hint="eastAsia" w:ascii="宋体" w:hAnsi="宋体" w:cs="宋体"/>
          <w:bCs/>
          <w:color w:val="auto"/>
          <w:highlight w:val="none"/>
        </w:rPr>
        <w:t xml:space="preserve">★2.投标人应根据招标需求提供各型号产品的分项报价，不提供详细分项报价将被视为没有实质性响应招标文件。 </w:t>
      </w:r>
    </w:p>
    <w:p w14:paraId="00791310">
      <w:pPr>
        <w:ind w:firstLine="420"/>
        <w:rPr>
          <w:rFonts w:ascii="宋体" w:hAnsi="宋体" w:cs="宋体"/>
          <w:bCs/>
          <w:color w:val="auto"/>
          <w:highlight w:val="none"/>
        </w:rPr>
      </w:pPr>
      <w:r>
        <w:rPr>
          <w:rFonts w:hint="eastAsia" w:ascii="宋体" w:hAnsi="宋体" w:cs="宋体"/>
          <w:bCs/>
          <w:color w:val="auto"/>
          <w:highlight w:val="none"/>
        </w:rPr>
        <w:t>3.此处的“投标报价（含税总价）”应与“报价表”中“投标报价（含税总价）”相一致。</w:t>
      </w:r>
    </w:p>
    <w:p w14:paraId="0B44E083">
      <w:pPr>
        <w:ind w:firstLine="420"/>
        <w:rPr>
          <w:rFonts w:ascii="宋体" w:hAnsi="宋体" w:cs="宋体"/>
          <w:bCs/>
          <w:color w:val="auto"/>
          <w:highlight w:val="none"/>
        </w:rPr>
      </w:pPr>
    </w:p>
    <w:p w14:paraId="41B1364E">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7CB1F2AF">
      <w:pPr>
        <w:ind w:firstLine="420"/>
        <w:rPr>
          <w:rFonts w:ascii="宋体" w:hAnsi="宋体" w:cs="宋体"/>
          <w:color w:val="auto"/>
          <w:highlight w:val="none"/>
        </w:rPr>
      </w:pPr>
      <w:r>
        <w:rPr>
          <w:rFonts w:hint="eastAsia" w:ascii="宋体" w:hAnsi="宋体" w:cs="宋体"/>
          <w:color w:val="auto"/>
          <w:highlight w:val="none"/>
        </w:rPr>
        <w:t>投标人名称（盖章）：</w:t>
      </w:r>
    </w:p>
    <w:p w14:paraId="2A48AAA7">
      <w:pPr>
        <w:spacing w:before="156" w:beforeLines="50" w:line="240" w:lineRule="auto"/>
        <w:ind w:firstLine="420"/>
        <w:jc w:val="right"/>
        <w:rPr>
          <w:rFonts w:ascii="宋体" w:hAnsi="宋体" w:cs="宋体"/>
          <w:color w:val="auto"/>
          <w:highlight w:val="none"/>
        </w:rPr>
      </w:pPr>
      <w:r>
        <w:rPr>
          <w:rFonts w:hint="eastAsia" w:ascii="宋体" w:hAnsi="宋体" w:cs="宋体"/>
          <w:color w:val="auto"/>
          <w:highlight w:val="none"/>
        </w:rPr>
        <w:t>日期：  年   月   日</w:t>
      </w:r>
    </w:p>
    <w:p w14:paraId="68C24B93">
      <w:pPr>
        <w:pStyle w:val="4"/>
        <w:ind w:firstLine="0" w:firstLineChars="0"/>
        <w:rPr>
          <w:rFonts w:ascii="宋体" w:hAnsi="宋体" w:cs="宋体"/>
          <w:bCs/>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4. 随机备品备件清单</w:t>
      </w:r>
    </w:p>
    <w:p w14:paraId="6981F8B3">
      <w:pPr>
        <w:ind w:firstLine="0" w:firstLineChars="0"/>
        <w:jc w:val="center"/>
        <w:rPr>
          <w:rFonts w:ascii="宋体" w:hAnsi="宋体" w:cs="宋体"/>
          <w:b/>
          <w:bCs/>
          <w:color w:val="auto"/>
          <w:highlight w:val="none"/>
        </w:rPr>
      </w:pPr>
      <w:r>
        <w:rPr>
          <w:rFonts w:hint="eastAsia" w:ascii="宋体" w:hAnsi="宋体" w:cs="宋体"/>
          <w:b/>
          <w:bCs/>
          <w:color w:val="auto"/>
          <w:highlight w:val="none"/>
        </w:rPr>
        <w:t>随机备品备件清单</w:t>
      </w:r>
    </w:p>
    <w:tbl>
      <w:tblPr>
        <w:tblStyle w:val="41"/>
        <w:tblW w:w="45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4"/>
        <w:gridCol w:w="790"/>
        <w:gridCol w:w="1304"/>
        <w:gridCol w:w="964"/>
        <w:gridCol w:w="964"/>
        <w:gridCol w:w="964"/>
        <w:gridCol w:w="964"/>
        <w:gridCol w:w="964"/>
      </w:tblGrid>
      <w:tr w14:paraId="7175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78"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7A620995">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518" w:type="pct"/>
            <w:tcBorders>
              <w:top w:val="single" w:color="auto" w:sz="4" w:space="0"/>
              <w:left w:val="single" w:color="auto" w:sz="4" w:space="0"/>
              <w:bottom w:val="single" w:color="auto" w:sz="4" w:space="0"/>
              <w:right w:val="single" w:color="auto" w:sz="4" w:space="0"/>
            </w:tcBorders>
            <w:vAlign w:val="center"/>
          </w:tcPr>
          <w:p w14:paraId="675368E6">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855" w:type="pct"/>
            <w:tcBorders>
              <w:top w:val="single" w:color="auto" w:sz="4" w:space="0"/>
              <w:left w:val="single" w:color="auto" w:sz="4" w:space="0"/>
              <w:bottom w:val="single" w:color="auto" w:sz="4" w:space="0"/>
              <w:right w:val="single" w:color="auto" w:sz="4" w:space="0"/>
            </w:tcBorders>
            <w:vAlign w:val="center"/>
          </w:tcPr>
          <w:p w14:paraId="21AF84B3">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型号和规格</w:t>
            </w:r>
          </w:p>
        </w:tc>
        <w:tc>
          <w:tcPr>
            <w:tcW w:w="632" w:type="pct"/>
            <w:tcBorders>
              <w:top w:val="single" w:color="auto" w:sz="4" w:space="0"/>
              <w:left w:val="single" w:color="auto" w:sz="4" w:space="0"/>
              <w:bottom w:val="single" w:color="auto" w:sz="4" w:space="0"/>
              <w:right w:val="single" w:color="auto" w:sz="4" w:space="0"/>
            </w:tcBorders>
            <w:vAlign w:val="center"/>
          </w:tcPr>
          <w:p w14:paraId="3F3A90AE">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632" w:type="pct"/>
            <w:tcBorders>
              <w:top w:val="single" w:color="auto" w:sz="4" w:space="0"/>
              <w:left w:val="single" w:color="auto" w:sz="4" w:space="0"/>
              <w:bottom w:val="single" w:color="auto" w:sz="4" w:space="0"/>
              <w:right w:val="single" w:color="auto" w:sz="4" w:space="0"/>
            </w:tcBorders>
            <w:vAlign w:val="center"/>
          </w:tcPr>
          <w:p w14:paraId="493EABA4">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632" w:type="pct"/>
            <w:tcBorders>
              <w:top w:val="single" w:color="auto" w:sz="4" w:space="0"/>
              <w:left w:val="single" w:color="auto" w:sz="4" w:space="0"/>
              <w:bottom w:val="single" w:color="auto" w:sz="4" w:space="0"/>
              <w:right w:val="single" w:color="auto" w:sz="4" w:space="0"/>
            </w:tcBorders>
            <w:vAlign w:val="center"/>
          </w:tcPr>
          <w:p w14:paraId="0D9D1ECC">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产地</w:t>
            </w:r>
          </w:p>
        </w:tc>
        <w:tc>
          <w:tcPr>
            <w:tcW w:w="632" w:type="pct"/>
            <w:tcBorders>
              <w:top w:val="single" w:color="auto" w:sz="4" w:space="0"/>
              <w:left w:val="single" w:color="auto" w:sz="4" w:space="0"/>
              <w:bottom w:val="single" w:color="auto" w:sz="4" w:space="0"/>
              <w:right w:val="single" w:color="auto" w:sz="4" w:space="0"/>
            </w:tcBorders>
            <w:vAlign w:val="center"/>
          </w:tcPr>
          <w:p w14:paraId="0A7397DB">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生产厂家</w:t>
            </w:r>
          </w:p>
        </w:tc>
        <w:tc>
          <w:tcPr>
            <w:tcW w:w="632" w:type="pct"/>
            <w:tcBorders>
              <w:top w:val="single" w:color="auto" w:sz="4" w:space="0"/>
              <w:left w:val="single" w:color="auto" w:sz="4" w:space="0"/>
              <w:bottom w:val="single" w:color="auto" w:sz="4" w:space="0"/>
              <w:right w:val="single" w:color="auto" w:sz="4" w:space="0"/>
            </w:tcBorders>
            <w:vAlign w:val="center"/>
          </w:tcPr>
          <w:p w14:paraId="4CEF135F">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6272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5D4064CC">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1</w:t>
            </w:r>
          </w:p>
        </w:tc>
        <w:tc>
          <w:tcPr>
            <w:tcW w:w="518" w:type="pct"/>
            <w:tcBorders>
              <w:top w:val="single" w:color="auto" w:sz="4" w:space="0"/>
              <w:left w:val="single" w:color="auto" w:sz="4" w:space="0"/>
              <w:bottom w:val="single" w:color="auto" w:sz="4" w:space="0"/>
              <w:right w:val="single" w:color="auto" w:sz="4" w:space="0"/>
            </w:tcBorders>
            <w:vAlign w:val="bottom"/>
          </w:tcPr>
          <w:p w14:paraId="7610F300">
            <w:pPr>
              <w:ind w:firstLine="0" w:firstLineChars="0"/>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25C2A416">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1D86B11C">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64D8B21D">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68A4F17">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B512AFE">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743DBC08">
            <w:pPr>
              <w:ind w:firstLine="0" w:firstLineChars="0"/>
              <w:rPr>
                <w:rFonts w:ascii="宋体" w:hAnsi="宋体" w:cs="宋体"/>
                <w:color w:val="auto"/>
                <w:szCs w:val="21"/>
                <w:highlight w:val="none"/>
              </w:rPr>
            </w:pPr>
          </w:p>
        </w:tc>
      </w:tr>
      <w:tr w14:paraId="6ECA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3C77A30C">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2</w:t>
            </w:r>
          </w:p>
        </w:tc>
        <w:tc>
          <w:tcPr>
            <w:tcW w:w="518" w:type="pct"/>
            <w:tcBorders>
              <w:top w:val="single" w:color="auto" w:sz="4" w:space="0"/>
              <w:left w:val="single" w:color="auto" w:sz="4" w:space="0"/>
              <w:bottom w:val="single" w:color="auto" w:sz="4" w:space="0"/>
              <w:right w:val="single" w:color="auto" w:sz="4" w:space="0"/>
            </w:tcBorders>
            <w:vAlign w:val="bottom"/>
          </w:tcPr>
          <w:p w14:paraId="4CD62878">
            <w:pPr>
              <w:ind w:firstLine="0" w:firstLineChars="0"/>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57868C81">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2CC4EC10">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2B806A1B">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3CE3722F">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CB6FB4E">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A91C39B">
            <w:pPr>
              <w:ind w:firstLine="0" w:firstLineChars="0"/>
              <w:rPr>
                <w:rFonts w:ascii="宋体" w:hAnsi="宋体" w:cs="宋体"/>
                <w:color w:val="auto"/>
                <w:szCs w:val="21"/>
                <w:highlight w:val="none"/>
              </w:rPr>
            </w:pPr>
          </w:p>
        </w:tc>
      </w:tr>
      <w:tr w14:paraId="5540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06ACA2D8">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3</w:t>
            </w:r>
          </w:p>
        </w:tc>
        <w:tc>
          <w:tcPr>
            <w:tcW w:w="518" w:type="pct"/>
            <w:tcBorders>
              <w:top w:val="single" w:color="auto" w:sz="4" w:space="0"/>
              <w:left w:val="single" w:color="auto" w:sz="4" w:space="0"/>
              <w:bottom w:val="single" w:color="auto" w:sz="4" w:space="0"/>
              <w:right w:val="single" w:color="auto" w:sz="4" w:space="0"/>
            </w:tcBorders>
            <w:vAlign w:val="bottom"/>
          </w:tcPr>
          <w:p w14:paraId="040E76B9">
            <w:pPr>
              <w:ind w:firstLine="0" w:firstLineChars="0"/>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3C4131A0">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49F68DB7">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458458CC">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6BCA9E29">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284841BA">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3C11DEE0">
            <w:pPr>
              <w:ind w:firstLine="0" w:firstLineChars="0"/>
              <w:rPr>
                <w:rFonts w:ascii="宋体" w:hAnsi="宋体" w:cs="宋体"/>
                <w:color w:val="auto"/>
                <w:szCs w:val="21"/>
                <w:highlight w:val="none"/>
              </w:rPr>
            </w:pPr>
          </w:p>
        </w:tc>
      </w:tr>
      <w:tr w14:paraId="59D1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1B995392">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4</w:t>
            </w:r>
          </w:p>
        </w:tc>
        <w:tc>
          <w:tcPr>
            <w:tcW w:w="518" w:type="pct"/>
            <w:tcBorders>
              <w:top w:val="single" w:color="auto" w:sz="4" w:space="0"/>
              <w:left w:val="single" w:color="auto" w:sz="4" w:space="0"/>
              <w:bottom w:val="single" w:color="auto" w:sz="4" w:space="0"/>
              <w:right w:val="single" w:color="auto" w:sz="4" w:space="0"/>
            </w:tcBorders>
            <w:vAlign w:val="bottom"/>
          </w:tcPr>
          <w:p w14:paraId="0AB80FCB">
            <w:pPr>
              <w:ind w:firstLine="0" w:firstLineChars="0"/>
              <w:jc w:val="center"/>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5FC99D58">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7A2719FF">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56B2BB2D">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2BE95C30">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7DA9A1CD">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393F504C">
            <w:pPr>
              <w:ind w:firstLine="0" w:firstLineChars="0"/>
              <w:rPr>
                <w:rFonts w:ascii="宋体" w:hAnsi="宋体" w:cs="宋体"/>
                <w:color w:val="auto"/>
                <w:szCs w:val="21"/>
                <w:highlight w:val="none"/>
              </w:rPr>
            </w:pPr>
          </w:p>
        </w:tc>
      </w:tr>
      <w:tr w14:paraId="3C14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578A8596">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5</w:t>
            </w:r>
          </w:p>
        </w:tc>
        <w:tc>
          <w:tcPr>
            <w:tcW w:w="518" w:type="pct"/>
            <w:tcBorders>
              <w:top w:val="single" w:color="auto" w:sz="4" w:space="0"/>
              <w:left w:val="single" w:color="auto" w:sz="4" w:space="0"/>
              <w:bottom w:val="single" w:color="auto" w:sz="4" w:space="0"/>
              <w:right w:val="single" w:color="auto" w:sz="4" w:space="0"/>
            </w:tcBorders>
            <w:vAlign w:val="bottom"/>
          </w:tcPr>
          <w:p w14:paraId="5334097B">
            <w:pPr>
              <w:ind w:firstLine="0" w:firstLineChars="0"/>
              <w:jc w:val="center"/>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6A02B97F">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48ECF6BB">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7DAF6499">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4EDF848C">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53846317">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D457F01">
            <w:pPr>
              <w:ind w:firstLine="0" w:firstLineChars="0"/>
              <w:rPr>
                <w:rFonts w:ascii="宋体" w:hAnsi="宋体" w:cs="宋体"/>
                <w:color w:val="auto"/>
                <w:szCs w:val="21"/>
                <w:highlight w:val="none"/>
              </w:rPr>
            </w:pPr>
          </w:p>
        </w:tc>
      </w:tr>
      <w:tr w14:paraId="1944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227D4545">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6</w:t>
            </w:r>
          </w:p>
        </w:tc>
        <w:tc>
          <w:tcPr>
            <w:tcW w:w="518" w:type="pct"/>
            <w:tcBorders>
              <w:top w:val="single" w:color="auto" w:sz="4" w:space="0"/>
              <w:left w:val="single" w:color="auto" w:sz="4" w:space="0"/>
              <w:bottom w:val="single" w:color="auto" w:sz="4" w:space="0"/>
              <w:right w:val="single" w:color="auto" w:sz="4" w:space="0"/>
            </w:tcBorders>
            <w:vAlign w:val="bottom"/>
          </w:tcPr>
          <w:p w14:paraId="25019099">
            <w:pPr>
              <w:ind w:firstLine="0" w:firstLineChars="0"/>
              <w:jc w:val="center"/>
              <w:rPr>
                <w:rFonts w:ascii="宋体" w:hAnsi="宋体" w:cs="宋体"/>
                <w:color w:val="auto"/>
                <w:szCs w:val="21"/>
                <w:highlight w:val="none"/>
              </w:rPr>
            </w:pPr>
          </w:p>
        </w:tc>
        <w:tc>
          <w:tcPr>
            <w:tcW w:w="855" w:type="pct"/>
            <w:tcBorders>
              <w:top w:val="single" w:color="auto" w:sz="4" w:space="0"/>
              <w:left w:val="single" w:color="auto" w:sz="4" w:space="0"/>
              <w:bottom w:val="single" w:color="auto" w:sz="4" w:space="0"/>
              <w:right w:val="single" w:color="auto" w:sz="4" w:space="0"/>
            </w:tcBorders>
            <w:vAlign w:val="bottom"/>
          </w:tcPr>
          <w:p w14:paraId="32EC53C3">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55EB9127">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459CB44A">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7D361C48">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7504DA62">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0BFD5952">
            <w:pPr>
              <w:ind w:firstLine="0" w:firstLineChars="0"/>
              <w:rPr>
                <w:rFonts w:ascii="宋体" w:hAnsi="宋体" w:cs="宋体"/>
                <w:color w:val="auto"/>
                <w:szCs w:val="21"/>
                <w:highlight w:val="none"/>
              </w:rPr>
            </w:pPr>
          </w:p>
        </w:tc>
      </w:tr>
      <w:tr w14:paraId="03C6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jc w:val="center"/>
        </w:trPr>
        <w:tc>
          <w:tcPr>
            <w:tcW w:w="980" w:type="pct"/>
            <w:gridSpan w:val="2"/>
            <w:tcBorders>
              <w:top w:val="single" w:color="auto" w:sz="4" w:space="0"/>
              <w:left w:val="single" w:color="auto" w:sz="4" w:space="0"/>
              <w:bottom w:val="single" w:color="auto" w:sz="4" w:space="0"/>
              <w:right w:val="single" w:color="auto" w:sz="4" w:space="0"/>
            </w:tcBorders>
            <w:vAlign w:val="center"/>
          </w:tcPr>
          <w:p w14:paraId="226FB487">
            <w:pPr>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合计</w:t>
            </w:r>
          </w:p>
        </w:tc>
        <w:tc>
          <w:tcPr>
            <w:tcW w:w="855" w:type="pct"/>
            <w:tcBorders>
              <w:top w:val="single" w:color="auto" w:sz="4" w:space="0"/>
              <w:left w:val="single" w:color="auto" w:sz="4" w:space="0"/>
              <w:bottom w:val="single" w:color="auto" w:sz="4" w:space="0"/>
              <w:right w:val="single" w:color="auto" w:sz="4" w:space="0"/>
            </w:tcBorders>
            <w:vAlign w:val="bottom"/>
          </w:tcPr>
          <w:p w14:paraId="28B95A69">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center"/>
          </w:tcPr>
          <w:p w14:paraId="7762D506">
            <w:pPr>
              <w:ind w:firstLine="0" w:firstLineChars="0"/>
              <w:jc w:val="center"/>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2F0D8460">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1F7C2C54">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577DD9EC">
            <w:pPr>
              <w:ind w:firstLine="0" w:firstLineChars="0"/>
              <w:rPr>
                <w:rFonts w:ascii="宋体" w:hAnsi="宋体" w:cs="宋体"/>
                <w:color w:val="auto"/>
                <w:szCs w:val="21"/>
                <w:highlight w:val="none"/>
              </w:rPr>
            </w:pPr>
          </w:p>
        </w:tc>
        <w:tc>
          <w:tcPr>
            <w:tcW w:w="632" w:type="pct"/>
            <w:tcBorders>
              <w:top w:val="single" w:color="auto" w:sz="4" w:space="0"/>
              <w:left w:val="single" w:color="auto" w:sz="4" w:space="0"/>
              <w:bottom w:val="single" w:color="auto" w:sz="4" w:space="0"/>
              <w:right w:val="single" w:color="auto" w:sz="4" w:space="0"/>
            </w:tcBorders>
            <w:vAlign w:val="bottom"/>
          </w:tcPr>
          <w:p w14:paraId="34D918BE">
            <w:pPr>
              <w:ind w:firstLine="0" w:firstLineChars="0"/>
              <w:rPr>
                <w:rFonts w:ascii="宋体" w:hAnsi="宋体" w:cs="宋体"/>
                <w:color w:val="auto"/>
                <w:szCs w:val="21"/>
                <w:highlight w:val="none"/>
              </w:rPr>
            </w:pPr>
          </w:p>
        </w:tc>
      </w:tr>
    </w:tbl>
    <w:p w14:paraId="50F8BAF3">
      <w:pPr>
        <w:ind w:firstLine="0" w:firstLineChars="0"/>
        <w:rPr>
          <w:rFonts w:ascii="宋体" w:hAnsi="宋体" w:cs="宋体"/>
          <w:bCs/>
          <w:color w:val="auto"/>
          <w:highlight w:val="none"/>
        </w:rPr>
      </w:pPr>
    </w:p>
    <w:p w14:paraId="7463233D">
      <w:pPr>
        <w:ind w:firstLine="420"/>
        <w:rPr>
          <w:rFonts w:ascii="宋体" w:hAnsi="宋体" w:cs="宋体"/>
          <w:bCs/>
          <w:color w:val="auto"/>
          <w:highlight w:val="none"/>
        </w:rPr>
      </w:pPr>
      <w:r>
        <w:rPr>
          <w:rFonts w:hint="eastAsia" w:ascii="宋体" w:hAnsi="宋体" w:cs="宋体"/>
          <w:bCs/>
          <w:color w:val="auto"/>
          <w:highlight w:val="none"/>
        </w:rPr>
        <w:t>注：本项目为“交钥匙”项目，随机备品备件报价含在投标报价内。</w:t>
      </w:r>
    </w:p>
    <w:p w14:paraId="5FD53EA6">
      <w:pPr>
        <w:ind w:firstLine="420"/>
        <w:rPr>
          <w:rFonts w:ascii="宋体" w:hAnsi="宋体" w:cs="宋体"/>
          <w:bCs/>
          <w:color w:val="auto"/>
          <w:highlight w:val="none"/>
        </w:rPr>
      </w:pPr>
    </w:p>
    <w:p w14:paraId="3C309457">
      <w:pPr>
        <w:ind w:firstLine="420"/>
        <w:rPr>
          <w:rFonts w:ascii="宋体" w:hAnsi="宋体" w:cs="宋体"/>
          <w:bCs/>
          <w:color w:val="auto"/>
          <w:highlight w:val="none"/>
        </w:rPr>
      </w:pPr>
    </w:p>
    <w:p w14:paraId="24AB3147">
      <w:pPr>
        <w:ind w:firstLine="420"/>
        <w:rPr>
          <w:rFonts w:ascii="宋体" w:hAnsi="宋体" w:cs="宋体"/>
          <w:color w:val="auto"/>
          <w:highlight w:val="none"/>
        </w:rPr>
      </w:pPr>
      <w:r>
        <w:rPr>
          <w:rFonts w:hint="eastAsia" w:ascii="宋体" w:hAnsi="宋体" w:cs="宋体"/>
          <w:color w:val="auto"/>
          <w:highlight w:val="none"/>
        </w:rPr>
        <w:t>法定代表人或授权代表（签章）：</w:t>
      </w:r>
    </w:p>
    <w:p w14:paraId="0E25E01D">
      <w:pPr>
        <w:ind w:firstLine="420"/>
        <w:rPr>
          <w:rFonts w:ascii="宋体" w:hAnsi="宋体" w:cs="宋体"/>
          <w:color w:val="auto"/>
          <w:highlight w:val="none"/>
        </w:rPr>
      </w:pPr>
      <w:r>
        <w:rPr>
          <w:rFonts w:hint="eastAsia" w:ascii="宋体" w:hAnsi="宋体" w:cs="宋体"/>
          <w:color w:val="auto"/>
          <w:highlight w:val="none"/>
        </w:rPr>
        <w:t>投标人名称（盖章）：</w:t>
      </w:r>
    </w:p>
    <w:p w14:paraId="4C352AB6">
      <w:pPr>
        <w:spacing w:before="156" w:beforeLines="50" w:line="240" w:lineRule="auto"/>
        <w:ind w:firstLine="420"/>
        <w:jc w:val="right"/>
        <w:rPr>
          <w:rFonts w:ascii="宋体" w:hAnsi="宋体" w:cs="宋体"/>
          <w:color w:val="auto"/>
          <w:highlight w:val="none"/>
        </w:rPr>
      </w:pPr>
      <w:r>
        <w:rPr>
          <w:rFonts w:hint="eastAsia" w:ascii="宋体" w:hAnsi="宋体" w:cs="宋体"/>
          <w:color w:val="auto"/>
          <w:highlight w:val="none"/>
        </w:rPr>
        <w:t>日期：  年   月   日</w:t>
      </w:r>
    </w:p>
    <w:p w14:paraId="2B42DCCD">
      <w:pPr>
        <w:pStyle w:val="4"/>
        <w:ind w:firstLine="0" w:firstLineChars="0"/>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5. 投标人针对报价需要说明的其他文件和说明（格式自拟）。</w:t>
      </w:r>
    </w:p>
    <w:p w14:paraId="3173D6A4">
      <w:pPr>
        <w:snapToGrid w:val="0"/>
        <w:spacing w:before="50" w:after="50"/>
        <w:ind w:left="-23" w:leftChars="-11" w:right="-113" w:rightChars="-54" w:firstLine="21" w:firstLineChars="10"/>
        <w:rPr>
          <w:rFonts w:ascii="宋体" w:hAnsi="宋体" w:cs="宋体"/>
          <w:color w:val="auto"/>
          <w:szCs w:val="21"/>
          <w:highlight w:val="none"/>
        </w:rPr>
      </w:pPr>
    </w:p>
    <w:sectPr>
      <w:footerReference r:id="rId13" w:type="default"/>
      <w:pgSz w:w="11906" w:h="16838"/>
      <w:pgMar w:top="1440" w:right="1800" w:bottom="1440" w:left="1800" w:header="851" w:footer="85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iti TC">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方正书宋简体">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C36ED">
    <w:pPr>
      <w:pStyle w:val="26"/>
      <w:tabs>
        <w:tab w:val="clear" w:pos="8306"/>
      </w:tabs>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42FC05E">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025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IaNQgCAAAIBAAADgAAAGRycy9lMm9Eb2MueG1srVPNjtMwEL4j8Q6W&#10;7zRpJ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gjMrDD346cf308/fp1/f&#10;2DxfvFxGi3rnC6q8c1Qbhtcw0OAkud7dgvzimYWbVtidukaEvlWiJorzeDN7cHXE8RGk6t9BTb3E&#10;PkACGho00T9yhBE6Pc/x8jxqCEzGlsvFcpnTkaSzaRN7iGK67tCHNwoMi0HJkd4/wYvDrQ9j6VQS&#10;u1nY6q6jvCg6+1eCMGMm0Y+MR+5hqAaqjpoqqI8kBGEcKfpQFLSAXznraZxKbun3cNa9tWRFnLwp&#10;wCmopkBYSRdLHjgbw5swTujeod61hDuZfU12bXUScs/hzJIGJFlxHuY4gQ/3qer+A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CVIho1CAIAAAgEAAAOAAAAAAAAAAEAIAAAAB4BAABkcnMv&#10;ZTJvRG9jLnhtbFBLBQYAAAAABgAGAFkBAACYBQAAAAA=&#10;">
              <v:fill on="f" focussize="0,0"/>
              <v:stroke on="f"/>
              <v:imagedata o:title=""/>
              <o:lock v:ext="edit" aspectratio="f"/>
              <v:textbox inset="0mm,0mm,0mm,0mm" style="mso-fit-shape-to-text:t;">
                <w:txbxContent>
                  <w:p w14:paraId="642FC05E">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tab/>
    </w:r>
  </w:p>
  <w:p w14:paraId="027B446D">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13E8">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AC1C">
    <w:pPr>
      <w:pStyle w:val="26"/>
      <w:ind w:firstLine="360"/>
      <w:jc w:val="center"/>
    </w:pPr>
  </w:p>
  <w:p w14:paraId="40337442">
    <w:pPr>
      <w:pStyle w:val="2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7C12">
    <w:pPr>
      <w:pStyle w:val="26"/>
      <w:ind w:firstLine="360"/>
      <w:jc w:val="center"/>
    </w:pPr>
    <w:r>
      <w:rPr>
        <w:rFonts w:hint="eastAsia"/>
      </w:rPr>
      <w:t xml:space="preserve">  </w:t>
    </w:r>
  </w:p>
  <w:p w14:paraId="017723BD">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6CF46">
    <w:pPr>
      <w:pStyle w:val="26"/>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96850"/>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43535" cy="196850"/>
                      </a:xfrm>
                      <a:prstGeom prst="rect">
                        <a:avLst/>
                      </a:prstGeom>
                      <a:noFill/>
                      <a:ln>
                        <a:noFill/>
                      </a:ln>
                    </wps:spPr>
                    <wps:txbx>
                      <w:txbxContent>
                        <w:p w14:paraId="7EF994A3">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5.5pt;width:27.05pt;mso-position-horizontal:center;mso-position-horizontal-relative:margin;mso-wrap-style:none;z-index:251660288;mso-width-relative:page;mso-height-relative:page;" filled="f" stroked="f" coordsize="21600,21600" o:gfxdata="UEsDBAoAAAAAAIdO4kAAAAAAAAAAAAAAAAAEAAAAZHJzL1BLAwQUAAAACACHTuJAnajrpd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qOul0QAAAAMBAAAPAAAAAAAAAAEAIAAAACIAAABkcnMv&#10;ZG93bnJldi54bWxQSwECFAAUAAAACACHTuJAHXYu7AoCAAACBAAADgAAAAAAAAABACAAAAAgAQAA&#10;ZHJzL2Uyb0RvYy54bWxQSwUGAAAAAAYABgBZAQAAnAUAAAAA&#10;">
              <v:fill on="f" focussize="0,0"/>
              <v:stroke on="f"/>
              <v:imagedata o:title=""/>
              <o:lock v:ext="edit" aspectratio="f"/>
              <v:textbox inset="0mm,0mm,0mm,0mm" style="mso-fit-shape-to-text:t;">
                <w:txbxContent>
                  <w:p w14:paraId="7EF994A3">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v:textbox>
            </v:shape>
          </w:pict>
        </mc:Fallback>
      </mc:AlternateContent>
    </w:r>
    <w:r>
      <w:rPr>
        <w:rFonts w:hint="eastAsia"/>
      </w:rPr>
      <w:t xml:space="preserve">  </w:t>
    </w:r>
  </w:p>
  <w:p w14:paraId="788FD36C">
    <w:pPr>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FFC94">
    <w:pPr>
      <w:pStyle w:val="2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AD15F">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0315">
    <w:pPr>
      <w:pStyle w:val="27"/>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85EA7">
    <w:pPr>
      <w:pStyle w:val="2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62945"/>
    <w:multiLevelType w:val="singleLevel"/>
    <w:tmpl w:val="95862945"/>
    <w:lvl w:ilvl="0" w:tentative="0">
      <w:start w:val="1"/>
      <w:numFmt w:val="decimal"/>
      <w:suff w:val="nothing"/>
      <w:lvlText w:val="%1、"/>
      <w:lvlJc w:val="left"/>
    </w:lvl>
  </w:abstractNum>
  <w:abstractNum w:abstractNumId="1">
    <w:nsid w:val="52CA42C7"/>
    <w:multiLevelType w:val="singleLevel"/>
    <w:tmpl w:val="52CA42C7"/>
    <w:lvl w:ilvl="0" w:tentative="0">
      <w:start w:val="1"/>
      <w:numFmt w:val="decimal"/>
      <w:suff w:val="nothing"/>
      <w:lvlText w:val="%1、"/>
      <w:lvlJc w:val="left"/>
      <w:rPr>
        <w:b w:val="0"/>
        <w:bCs w:val="0"/>
        <w:color w:val="auto"/>
      </w:rPr>
    </w:lvl>
  </w:abstractNum>
  <w:abstractNum w:abstractNumId="2">
    <w:nsid w:val="52CA4E27"/>
    <w:multiLevelType w:val="singleLevel"/>
    <w:tmpl w:val="52CA4E27"/>
    <w:lvl w:ilvl="0" w:tentative="0">
      <w:start w:val="9"/>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5NGE5MzUzODA2NmVhOGVmZTMzYWIzYzk3ZTgyYTMifQ=="/>
  </w:docVars>
  <w:rsids>
    <w:rsidRoot w:val="006049A0"/>
    <w:rsid w:val="00000235"/>
    <w:rsid w:val="00000850"/>
    <w:rsid w:val="000022CB"/>
    <w:rsid w:val="00002E01"/>
    <w:rsid w:val="0000421D"/>
    <w:rsid w:val="000052D4"/>
    <w:rsid w:val="000063E4"/>
    <w:rsid w:val="00013394"/>
    <w:rsid w:val="00016621"/>
    <w:rsid w:val="00016DE3"/>
    <w:rsid w:val="0002591E"/>
    <w:rsid w:val="00027CCB"/>
    <w:rsid w:val="00031225"/>
    <w:rsid w:val="0003177B"/>
    <w:rsid w:val="0003521C"/>
    <w:rsid w:val="0003548F"/>
    <w:rsid w:val="000376B2"/>
    <w:rsid w:val="00040CD6"/>
    <w:rsid w:val="000414B2"/>
    <w:rsid w:val="00042510"/>
    <w:rsid w:val="00044264"/>
    <w:rsid w:val="000443E5"/>
    <w:rsid w:val="00045B58"/>
    <w:rsid w:val="000465AB"/>
    <w:rsid w:val="00050581"/>
    <w:rsid w:val="00050602"/>
    <w:rsid w:val="00051AA7"/>
    <w:rsid w:val="00055753"/>
    <w:rsid w:val="000561EC"/>
    <w:rsid w:val="00057286"/>
    <w:rsid w:val="00057807"/>
    <w:rsid w:val="00060339"/>
    <w:rsid w:val="00060B10"/>
    <w:rsid w:val="000632EB"/>
    <w:rsid w:val="00064815"/>
    <w:rsid w:val="00064DD2"/>
    <w:rsid w:val="0006545D"/>
    <w:rsid w:val="00072DD2"/>
    <w:rsid w:val="00073386"/>
    <w:rsid w:val="00073B61"/>
    <w:rsid w:val="000747F2"/>
    <w:rsid w:val="00075C86"/>
    <w:rsid w:val="00076ED7"/>
    <w:rsid w:val="00077654"/>
    <w:rsid w:val="000815A2"/>
    <w:rsid w:val="00081921"/>
    <w:rsid w:val="00083F19"/>
    <w:rsid w:val="0008690E"/>
    <w:rsid w:val="0009058A"/>
    <w:rsid w:val="00092CF5"/>
    <w:rsid w:val="0009404C"/>
    <w:rsid w:val="00097038"/>
    <w:rsid w:val="00097273"/>
    <w:rsid w:val="0009776F"/>
    <w:rsid w:val="000A3664"/>
    <w:rsid w:val="000A3945"/>
    <w:rsid w:val="000A6FE9"/>
    <w:rsid w:val="000B12E9"/>
    <w:rsid w:val="000B13F7"/>
    <w:rsid w:val="000B1C33"/>
    <w:rsid w:val="000B2230"/>
    <w:rsid w:val="000B2D0E"/>
    <w:rsid w:val="000B3833"/>
    <w:rsid w:val="000B6D52"/>
    <w:rsid w:val="000B7F94"/>
    <w:rsid w:val="000C0887"/>
    <w:rsid w:val="000C127D"/>
    <w:rsid w:val="000C1E07"/>
    <w:rsid w:val="000C4A6F"/>
    <w:rsid w:val="000C4D20"/>
    <w:rsid w:val="000C4DE4"/>
    <w:rsid w:val="000D15D9"/>
    <w:rsid w:val="000D3342"/>
    <w:rsid w:val="000D3FF2"/>
    <w:rsid w:val="000D44A5"/>
    <w:rsid w:val="000D489D"/>
    <w:rsid w:val="000D5F23"/>
    <w:rsid w:val="000E03FC"/>
    <w:rsid w:val="000E135B"/>
    <w:rsid w:val="000E2B79"/>
    <w:rsid w:val="000E425A"/>
    <w:rsid w:val="000E6C85"/>
    <w:rsid w:val="000E7A8D"/>
    <w:rsid w:val="000E7F01"/>
    <w:rsid w:val="000F3D64"/>
    <w:rsid w:val="000F45C4"/>
    <w:rsid w:val="000F542D"/>
    <w:rsid w:val="000F58B2"/>
    <w:rsid w:val="000F7AD1"/>
    <w:rsid w:val="00100573"/>
    <w:rsid w:val="001017A4"/>
    <w:rsid w:val="0010266B"/>
    <w:rsid w:val="00103B47"/>
    <w:rsid w:val="001108D3"/>
    <w:rsid w:val="00110A57"/>
    <w:rsid w:val="00110E6D"/>
    <w:rsid w:val="00112095"/>
    <w:rsid w:val="0011326A"/>
    <w:rsid w:val="001200C5"/>
    <w:rsid w:val="00125F9F"/>
    <w:rsid w:val="00126E7D"/>
    <w:rsid w:val="00127542"/>
    <w:rsid w:val="0013586F"/>
    <w:rsid w:val="00145983"/>
    <w:rsid w:val="00151E63"/>
    <w:rsid w:val="00152313"/>
    <w:rsid w:val="0015784E"/>
    <w:rsid w:val="00157DE1"/>
    <w:rsid w:val="00162525"/>
    <w:rsid w:val="001665B0"/>
    <w:rsid w:val="0017032C"/>
    <w:rsid w:val="00171EC4"/>
    <w:rsid w:val="001735DF"/>
    <w:rsid w:val="00173CB6"/>
    <w:rsid w:val="00174A02"/>
    <w:rsid w:val="00176AD2"/>
    <w:rsid w:val="001806DC"/>
    <w:rsid w:val="001831F5"/>
    <w:rsid w:val="00185D6A"/>
    <w:rsid w:val="00186094"/>
    <w:rsid w:val="0018620D"/>
    <w:rsid w:val="00187304"/>
    <w:rsid w:val="00193137"/>
    <w:rsid w:val="00193C19"/>
    <w:rsid w:val="00195509"/>
    <w:rsid w:val="0019691A"/>
    <w:rsid w:val="00196F68"/>
    <w:rsid w:val="00197F1B"/>
    <w:rsid w:val="001A009C"/>
    <w:rsid w:val="001A22A0"/>
    <w:rsid w:val="001A2377"/>
    <w:rsid w:val="001A3280"/>
    <w:rsid w:val="001A44B6"/>
    <w:rsid w:val="001A5698"/>
    <w:rsid w:val="001A79FF"/>
    <w:rsid w:val="001A7C4B"/>
    <w:rsid w:val="001B10A1"/>
    <w:rsid w:val="001B170F"/>
    <w:rsid w:val="001B1895"/>
    <w:rsid w:val="001B5352"/>
    <w:rsid w:val="001B7E9E"/>
    <w:rsid w:val="001C166A"/>
    <w:rsid w:val="001C54C8"/>
    <w:rsid w:val="001C6270"/>
    <w:rsid w:val="001D0B6E"/>
    <w:rsid w:val="001D112F"/>
    <w:rsid w:val="001D2503"/>
    <w:rsid w:val="001D26A8"/>
    <w:rsid w:val="001D4900"/>
    <w:rsid w:val="001E19BA"/>
    <w:rsid w:val="001E3396"/>
    <w:rsid w:val="001E3BF3"/>
    <w:rsid w:val="001E3C6A"/>
    <w:rsid w:val="001E4FCF"/>
    <w:rsid w:val="001E51C2"/>
    <w:rsid w:val="001E5C21"/>
    <w:rsid w:val="001F051D"/>
    <w:rsid w:val="001F1FDA"/>
    <w:rsid w:val="001F4601"/>
    <w:rsid w:val="001F502E"/>
    <w:rsid w:val="001F5B0B"/>
    <w:rsid w:val="001F64FA"/>
    <w:rsid w:val="001F7BAD"/>
    <w:rsid w:val="00201686"/>
    <w:rsid w:val="00203378"/>
    <w:rsid w:val="00203D4F"/>
    <w:rsid w:val="00203D9B"/>
    <w:rsid w:val="00205504"/>
    <w:rsid w:val="00205719"/>
    <w:rsid w:val="00215A97"/>
    <w:rsid w:val="0021780F"/>
    <w:rsid w:val="00220BB0"/>
    <w:rsid w:val="00220F5E"/>
    <w:rsid w:val="00221691"/>
    <w:rsid w:val="00221C0F"/>
    <w:rsid w:val="002241E1"/>
    <w:rsid w:val="00225EDB"/>
    <w:rsid w:val="002277FE"/>
    <w:rsid w:val="00231AEE"/>
    <w:rsid w:val="00231E62"/>
    <w:rsid w:val="002401D4"/>
    <w:rsid w:val="002413BF"/>
    <w:rsid w:val="002443FD"/>
    <w:rsid w:val="0024511E"/>
    <w:rsid w:val="0025083B"/>
    <w:rsid w:val="00251625"/>
    <w:rsid w:val="00251919"/>
    <w:rsid w:val="0025238A"/>
    <w:rsid w:val="00252C05"/>
    <w:rsid w:val="00255F77"/>
    <w:rsid w:val="00257339"/>
    <w:rsid w:val="00257E7E"/>
    <w:rsid w:val="002627D6"/>
    <w:rsid w:val="002629E0"/>
    <w:rsid w:val="00262C99"/>
    <w:rsid w:val="002656CD"/>
    <w:rsid w:val="00266687"/>
    <w:rsid w:val="00273986"/>
    <w:rsid w:val="00273BDC"/>
    <w:rsid w:val="002742BA"/>
    <w:rsid w:val="00275B75"/>
    <w:rsid w:val="002802F9"/>
    <w:rsid w:val="00280300"/>
    <w:rsid w:val="00280EA1"/>
    <w:rsid w:val="002811EA"/>
    <w:rsid w:val="002901A0"/>
    <w:rsid w:val="0029139A"/>
    <w:rsid w:val="00291A1C"/>
    <w:rsid w:val="00292BBB"/>
    <w:rsid w:val="00292CDF"/>
    <w:rsid w:val="002947C4"/>
    <w:rsid w:val="002A02A9"/>
    <w:rsid w:val="002A061D"/>
    <w:rsid w:val="002A327D"/>
    <w:rsid w:val="002A357A"/>
    <w:rsid w:val="002A3D91"/>
    <w:rsid w:val="002A43E6"/>
    <w:rsid w:val="002A69B9"/>
    <w:rsid w:val="002B0F8F"/>
    <w:rsid w:val="002B4B9E"/>
    <w:rsid w:val="002B5032"/>
    <w:rsid w:val="002B6017"/>
    <w:rsid w:val="002C3647"/>
    <w:rsid w:val="002C4947"/>
    <w:rsid w:val="002C5B32"/>
    <w:rsid w:val="002C64A6"/>
    <w:rsid w:val="002C743E"/>
    <w:rsid w:val="002D2097"/>
    <w:rsid w:val="002D2B9B"/>
    <w:rsid w:val="002D475C"/>
    <w:rsid w:val="002D6389"/>
    <w:rsid w:val="002E1333"/>
    <w:rsid w:val="002E1905"/>
    <w:rsid w:val="002E2E15"/>
    <w:rsid w:val="002E2E1D"/>
    <w:rsid w:val="002E42DE"/>
    <w:rsid w:val="002E66E0"/>
    <w:rsid w:val="002F02CF"/>
    <w:rsid w:val="002F12FB"/>
    <w:rsid w:val="002F1D3C"/>
    <w:rsid w:val="002F25CA"/>
    <w:rsid w:val="002F2D51"/>
    <w:rsid w:val="002F2ECB"/>
    <w:rsid w:val="002F54DE"/>
    <w:rsid w:val="002F6C4B"/>
    <w:rsid w:val="002F7118"/>
    <w:rsid w:val="00302ABB"/>
    <w:rsid w:val="00302C52"/>
    <w:rsid w:val="0030334F"/>
    <w:rsid w:val="003046D8"/>
    <w:rsid w:val="003049B9"/>
    <w:rsid w:val="00304BC3"/>
    <w:rsid w:val="00307D89"/>
    <w:rsid w:val="00316BFE"/>
    <w:rsid w:val="00323726"/>
    <w:rsid w:val="00323804"/>
    <w:rsid w:val="00324ADA"/>
    <w:rsid w:val="00331450"/>
    <w:rsid w:val="00331EDD"/>
    <w:rsid w:val="00333B3E"/>
    <w:rsid w:val="00334A55"/>
    <w:rsid w:val="003356C0"/>
    <w:rsid w:val="00335FA5"/>
    <w:rsid w:val="003406E7"/>
    <w:rsid w:val="00341717"/>
    <w:rsid w:val="00342718"/>
    <w:rsid w:val="00344062"/>
    <w:rsid w:val="00344BA7"/>
    <w:rsid w:val="0034731C"/>
    <w:rsid w:val="00347D41"/>
    <w:rsid w:val="003509F3"/>
    <w:rsid w:val="00352335"/>
    <w:rsid w:val="00353C7F"/>
    <w:rsid w:val="00355E91"/>
    <w:rsid w:val="00356831"/>
    <w:rsid w:val="0035773E"/>
    <w:rsid w:val="0036166E"/>
    <w:rsid w:val="00363F97"/>
    <w:rsid w:val="00364343"/>
    <w:rsid w:val="003703BB"/>
    <w:rsid w:val="003710D8"/>
    <w:rsid w:val="00373EC8"/>
    <w:rsid w:val="00375383"/>
    <w:rsid w:val="0037666B"/>
    <w:rsid w:val="00377CAB"/>
    <w:rsid w:val="0038070C"/>
    <w:rsid w:val="00383F83"/>
    <w:rsid w:val="00385183"/>
    <w:rsid w:val="003852AF"/>
    <w:rsid w:val="00391E90"/>
    <w:rsid w:val="00395D72"/>
    <w:rsid w:val="003A2214"/>
    <w:rsid w:val="003A276B"/>
    <w:rsid w:val="003A376A"/>
    <w:rsid w:val="003B18ED"/>
    <w:rsid w:val="003B65E9"/>
    <w:rsid w:val="003C1A3C"/>
    <w:rsid w:val="003C275E"/>
    <w:rsid w:val="003C48D2"/>
    <w:rsid w:val="003C4AD9"/>
    <w:rsid w:val="003C572A"/>
    <w:rsid w:val="003C57FB"/>
    <w:rsid w:val="003C7417"/>
    <w:rsid w:val="003C7F7E"/>
    <w:rsid w:val="003D4064"/>
    <w:rsid w:val="003D4EB1"/>
    <w:rsid w:val="003D5D7F"/>
    <w:rsid w:val="003D77EA"/>
    <w:rsid w:val="003E0459"/>
    <w:rsid w:val="003E048E"/>
    <w:rsid w:val="003E2CB6"/>
    <w:rsid w:val="003E2F89"/>
    <w:rsid w:val="003E464C"/>
    <w:rsid w:val="003E5D71"/>
    <w:rsid w:val="003E7BD5"/>
    <w:rsid w:val="003F01A1"/>
    <w:rsid w:val="003F0DB1"/>
    <w:rsid w:val="003F1362"/>
    <w:rsid w:val="003F24BA"/>
    <w:rsid w:val="003F25B9"/>
    <w:rsid w:val="003F38C9"/>
    <w:rsid w:val="003F397A"/>
    <w:rsid w:val="003F3CB4"/>
    <w:rsid w:val="003F70E0"/>
    <w:rsid w:val="00400E6E"/>
    <w:rsid w:val="0040121A"/>
    <w:rsid w:val="00403151"/>
    <w:rsid w:val="004035DA"/>
    <w:rsid w:val="00404D9F"/>
    <w:rsid w:val="00404DEB"/>
    <w:rsid w:val="00405012"/>
    <w:rsid w:val="0040622D"/>
    <w:rsid w:val="00412F4E"/>
    <w:rsid w:val="00413D62"/>
    <w:rsid w:val="00415BA0"/>
    <w:rsid w:val="00417FD2"/>
    <w:rsid w:val="004213C5"/>
    <w:rsid w:val="00431820"/>
    <w:rsid w:val="00431F33"/>
    <w:rsid w:val="0043261D"/>
    <w:rsid w:val="00434843"/>
    <w:rsid w:val="004355BE"/>
    <w:rsid w:val="00436A15"/>
    <w:rsid w:val="00436EF7"/>
    <w:rsid w:val="004407D6"/>
    <w:rsid w:val="00440B34"/>
    <w:rsid w:val="00442566"/>
    <w:rsid w:val="00443B7B"/>
    <w:rsid w:val="00455248"/>
    <w:rsid w:val="004572AB"/>
    <w:rsid w:val="00457E2F"/>
    <w:rsid w:val="0046015E"/>
    <w:rsid w:val="00460496"/>
    <w:rsid w:val="0046049E"/>
    <w:rsid w:val="00463345"/>
    <w:rsid w:val="00463485"/>
    <w:rsid w:val="0046495A"/>
    <w:rsid w:val="00465109"/>
    <w:rsid w:val="00465408"/>
    <w:rsid w:val="004735A4"/>
    <w:rsid w:val="00476CFB"/>
    <w:rsid w:val="00477F74"/>
    <w:rsid w:val="00480358"/>
    <w:rsid w:val="00480826"/>
    <w:rsid w:val="00480BF8"/>
    <w:rsid w:val="00480F9D"/>
    <w:rsid w:val="00481B22"/>
    <w:rsid w:val="004823AF"/>
    <w:rsid w:val="00487267"/>
    <w:rsid w:val="00490CC3"/>
    <w:rsid w:val="00492F16"/>
    <w:rsid w:val="004943A7"/>
    <w:rsid w:val="004A279B"/>
    <w:rsid w:val="004A3FA8"/>
    <w:rsid w:val="004A5CD0"/>
    <w:rsid w:val="004B259D"/>
    <w:rsid w:val="004B3E8C"/>
    <w:rsid w:val="004B4265"/>
    <w:rsid w:val="004B47DE"/>
    <w:rsid w:val="004B4962"/>
    <w:rsid w:val="004B51FE"/>
    <w:rsid w:val="004B6ADF"/>
    <w:rsid w:val="004B7000"/>
    <w:rsid w:val="004B7254"/>
    <w:rsid w:val="004C17F2"/>
    <w:rsid w:val="004C20F7"/>
    <w:rsid w:val="004C5847"/>
    <w:rsid w:val="004D01B6"/>
    <w:rsid w:val="004D0338"/>
    <w:rsid w:val="004D1DF1"/>
    <w:rsid w:val="004D1EAF"/>
    <w:rsid w:val="004D451D"/>
    <w:rsid w:val="004E1A48"/>
    <w:rsid w:val="004E5F3F"/>
    <w:rsid w:val="004E76A7"/>
    <w:rsid w:val="004F0B81"/>
    <w:rsid w:val="004F1273"/>
    <w:rsid w:val="004F15FC"/>
    <w:rsid w:val="004F4CB5"/>
    <w:rsid w:val="004F73CC"/>
    <w:rsid w:val="005001DF"/>
    <w:rsid w:val="00501559"/>
    <w:rsid w:val="00503373"/>
    <w:rsid w:val="00505D6C"/>
    <w:rsid w:val="00511B5A"/>
    <w:rsid w:val="00512498"/>
    <w:rsid w:val="0051294C"/>
    <w:rsid w:val="005132B0"/>
    <w:rsid w:val="00514AF5"/>
    <w:rsid w:val="00516067"/>
    <w:rsid w:val="00517CC1"/>
    <w:rsid w:val="00520996"/>
    <w:rsid w:val="0052261B"/>
    <w:rsid w:val="00523C11"/>
    <w:rsid w:val="005242C7"/>
    <w:rsid w:val="00524E83"/>
    <w:rsid w:val="00527F74"/>
    <w:rsid w:val="00533B47"/>
    <w:rsid w:val="00533E53"/>
    <w:rsid w:val="00534ACC"/>
    <w:rsid w:val="00535624"/>
    <w:rsid w:val="00536359"/>
    <w:rsid w:val="00542A5B"/>
    <w:rsid w:val="00542C5C"/>
    <w:rsid w:val="00543497"/>
    <w:rsid w:val="0054392B"/>
    <w:rsid w:val="005444A4"/>
    <w:rsid w:val="005456BE"/>
    <w:rsid w:val="005476D4"/>
    <w:rsid w:val="00552D17"/>
    <w:rsid w:val="005536EA"/>
    <w:rsid w:val="00555F28"/>
    <w:rsid w:val="00556E28"/>
    <w:rsid w:val="00561732"/>
    <w:rsid w:val="005658A8"/>
    <w:rsid w:val="00566B11"/>
    <w:rsid w:val="00567021"/>
    <w:rsid w:val="005704A8"/>
    <w:rsid w:val="00570E52"/>
    <w:rsid w:val="00571F07"/>
    <w:rsid w:val="005740CD"/>
    <w:rsid w:val="0057478B"/>
    <w:rsid w:val="00574A36"/>
    <w:rsid w:val="0057509E"/>
    <w:rsid w:val="0057534C"/>
    <w:rsid w:val="00575D7E"/>
    <w:rsid w:val="00577CCD"/>
    <w:rsid w:val="00580611"/>
    <w:rsid w:val="00585539"/>
    <w:rsid w:val="00590EE0"/>
    <w:rsid w:val="005922CE"/>
    <w:rsid w:val="00593722"/>
    <w:rsid w:val="0059538A"/>
    <w:rsid w:val="00595836"/>
    <w:rsid w:val="00597BE8"/>
    <w:rsid w:val="005A11FE"/>
    <w:rsid w:val="005A39EB"/>
    <w:rsid w:val="005A3B6A"/>
    <w:rsid w:val="005A44F6"/>
    <w:rsid w:val="005A49E8"/>
    <w:rsid w:val="005B4877"/>
    <w:rsid w:val="005B560E"/>
    <w:rsid w:val="005B68EE"/>
    <w:rsid w:val="005B711F"/>
    <w:rsid w:val="005B7238"/>
    <w:rsid w:val="005B7B56"/>
    <w:rsid w:val="005C051F"/>
    <w:rsid w:val="005C6037"/>
    <w:rsid w:val="005C6892"/>
    <w:rsid w:val="005C6FDC"/>
    <w:rsid w:val="005C724C"/>
    <w:rsid w:val="005C7459"/>
    <w:rsid w:val="005C7F25"/>
    <w:rsid w:val="005D1AA5"/>
    <w:rsid w:val="005D28B9"/>
    <w:rsid w:val="005D4574"/>
    <w:rsid w:val="005E5354"/>
    <w:rsid w:val="005E5F43"/>
    <w:rsid w:val="005E6543"/>
    <w:rsid w:val="005F05B6"/>
    <w:rsid w:val="005F4EDB"/>
    <w:rsid w:val="005F61D7"/>
    <w:rsid w:val="005F6982"/>
    <w:rsid w:val="006008A6"/>
    <w:rsid w:val="00601BFC"/>
    <w:rsid w:val="006049A0"/>
    <w:rsid w:val="00606EAA"/>
    <w:rsid w:val="00610069"/>
    <w:rsid w:val="00611A28"/>
    <w:rsid w:val="00611ADF"/>
    <w:rsid w:val="0061277A"/>
    <w:rsid w:val="00613A88"/>
    <w:rsid w:val="00613B08"/>
    <w:rsid w:val="00614F17"/>
    <w:rsid w:val="00615D42"/>
    <w:rsid w:val="006178C1"/>
    <w:rsid w:val="00621994"/>
    <w:rsid w:val="00622725"/>
    <w:rsid w:val="006228E3"/>
    <w:rsid w:val="00623A83"/>
    <w:rsid w:val="006246F4"/>
    <w:rsid w:val="00624F44"/>
    <w:rsid w:val="00627F57"/>
    <w:rsid w:val="006326FD"/>
    <w:rsid w:val="00634409"/>
    <w:rsid w:val="006349D1"/>
    <w:rsid w:val="00635E30"/>
    <w:rsid w:val="0063600B"/>
    <w:rsid w:val="00637DDF"/>
    <w:rsid w:val="00640CB3"/>
    <w:rsid w:val="0064442E"/>
    <w:rsid w:val="0064571E"/>
    <w:rsid w:val="006475C0"/>
    <w:rsid w:val="0065370F"/>
    <w:rsid w:val="00661D31"/>
    <w:rsid w:val="00662729"/>
    <w:rsid w:val="00663496"/>
    <w:rsid w:val="0066394D"/>
    <w:rsid w:val="00663E1E"/>
    <w:rsid w:val="006725B8"/>
    <w:rsid w:val="00672FCD"/>
    <w:rsid w:val="006753E1"/>
    <w:rsid w:val="006756DF"/>
    <w:rsid w:val="006775CC"/>
    <w:rsid w:val="0068088D"/>
    <w:rsid w:val="00680EBB"/>
    <w:rsid w:val="00681282"/>
    <w:rsid w:val="00682FD8"/>
    <w:rsid w:val="00683392"/>
    <w:rsid w:val="0068695D"/>
    <w:rsid w:val="00691630"/>
    <w:rsid w:val="0069164D"/>
    <w:rsid w:val="006923D9"/>
    <w:rsid w:val="006931C2"/>
    <w:rsid w:val="0069390B"/>
    <w:rsid w:val="006943AB"/>
    <w:rsid w:val="006950A7"/>
    <w:rsid w:val="00696168"/>
    <w:rsid w:val="006972D6"/>
    <w:rsid w:val="006973B7"/>
    <w:rsid w:val="006A1204"/>
    <w:rsid w:val="006A33DD"/>
    <w:rsid w:val="006A4979"/>
    <w:rsid w:val="006B21C0"/>
    <w:rsid w:val="006B27E7"/>
    <w:rsid w:val="006B32A4"/>
    <w:rsid w:val="006B37D2"/>
    <w:rsid w:val="006B4204"/>
    <w:rsid w:val="006B7FD4"/>
    <w:rsid w:val="006C02D5"/>
    <w:rsid w:val="006C0A6A"/>
    <w:rsid w:val="006C1403"/>
    <w:rsid w:val="006C1840"/>
    <w:rsid w:val="006C365C"/>
    <w:rsid w:val="006C4CE2"/>
    <w:rsid w:val="006C521A"/>
    <w:rsid w:val="006C75F7"/>
    <w:rsid w:val="006D4947"/>
    <w:rsid w:val="006E1E99"/>
    <w:rsid w:val="006E2C36"/>
    <w:rsid w:val="006E3E02"/>
    <w:rsid w:val="006E5279"/>
    <w:rsid w:val="006E58D6"/>
    <w:rsid w:val="006F0BB6"/>
    <w:rsid w:val="006F18BB"/>
    <w:rsid w:val="006F1A61"/>
    <w:rsid w:val="006F1A6D"/>
    <w:rsid w:val="006F2D11"/>
    <w:rsid w:val="006F328D"/>
    <w:rsid w:val="006F5234"/>
    <w:rsid w:val="006F6C8A"/>
    <w:rsid w:val="006F6FE1"/>
    <w:rsid w:val="00700B68"/>
    <w:rsid w:val="0070347A"/>
    <w:rsid w:val="00705107"/>
    <w:rsid w:val="0070756F"/>
    <w:rsid w:val="00710B10"/>
    <w:rsid w:val="007133C0"/>
    <w:rsid w:val="00713CC2"/>
    <w:rsid w:val="00720447"/>
    <w:rsid w:val="007205B8"/>
    <w:rsid w:val="00721279"/>
    <w:rsid w:val="007220AE"/>
    <w:rsid w:val="00722309"/>
    <w:rsid w:val="00724329"/>
    <w:rsid w:val="00732080"/>
    <w:rsid w:val="00732221"/>
    <w:rsid w:val="007344D7"/>
    <w:rsid w:val="00735CD3"/>
    <w:rsid w:val="00736210"/>
    <w:rsid w:val="00740EA4"/>
    <w:rsid w:val="00742241"/>
    <w:rsid w:val="00742439"/>
    <w:rsid w:val="00743E2A"/>
    <w:rsid w:val="00744390"/>
    <w:rsid w:val="00745654"/>
    <w:rsid w:val="00745CCF"/>
    <w:rsid w:val="00747113"/>
    <w:rsid w:val="00747F2A"/>
    <w:rsid w:val="00752496"/>
    <w:rsid w:val="00752A44"/>
    <w:rsid w:val="00754BA5"/>
    <w:rsid w:val="00755908"/>
    <w:rsid w:val="0076236E"/>
    <w:rsid w:val="0076294E"/>
    <w:rsid w:val="00766D9F"/>
    <w:rsid w:val="00767982"/>
    <w:rsid w:val="00773308"/>
    <w:rsid w:val="00774320"/>
    <w:rsid w:val="00774D5C"/>
    <w:rsid w:val="00774EA8"/>
    <w:rsid w:val="00775379"/>
    <w:rsid w:val="00777278"/>
    <w:rsid w:val="007774AC"/>
    <w:rsid w:val="00780A12"/>
    <w:rsid w:val="0078255F"/>
    <w:rsid w:val="007828D1"/>
    <w:rsid w:val="007843EE"/>
    <w:rsid w:val="00785DAA"/>
    <w:rsid w:val="0078698D"/>
    <w:rsid w:val="00787145"/>
    <w:rsid w:val="007901CF"/>
    <w:rsid w:val="00791D71"/>
    <w:rsid w:val="00792E70"/>
    <w:rsid w:val="00793F3C"/>
    <w:rsid w:val="00795571"/>
    <w:rsid w:val="007968E5"/>
    <w:rsid w:val="00796C42"/>
    <w:rsid w:val="007A0625"/>
    <w:rsid w:val="007A2486"/>
    <w:rsid w:val="007A3824"/>
    <w:rsid w:val="007A5A20"/>
    <w:rsid w:val="007A6D8D"/>
    <w:rsid w:val="007B015F"/>
    <w:rsid w:val="007B1C74"/>
    <w:rsid w:val="007B1DBD"/>
    <w:rsid w:val="007B1EE8"/>
    <w:rsid w:val="007B33DA"/>
    <w:rsid w:val="007B68C6"/>
    <w:rsid w:val="007B7121"/>
    <w:rsid w:val="007B7AA6"/>
    <w:rsid w:val="007C19E2"/>
    <w:rsid w:val="007C36DB"/>
    <w:rsid w:val="007C6321"/>
    <w:rsid w:val="007C68A4"/>
    <w:rsid w:val="007D164D"/>
    <w:rsid w:val="007D1A98"/>
    <w:rsid w:val="007D2AFA"/>
    <w:rsid w:val="007D5335"/>
    <w:rsid w:val="007D61F9"/>
    <w:rsid w:val="007D75BD"/>
    <w:rsid w:val="007E1A9B"/>
    <w:rsid w:val="007E3382"/>
    <w:rsid w:val="007E5A56"/>
    <w:rsid w:val="007E62CF"/>
    <w:rsid w:val="007F30DF"/>
    <w:rsid w:val="007F536D"/>
    <w:rsid w:val="007F5C2C"/>
    <w:rsid w:val="008016ED"/>
    <w:rsid w:val="008038C8"/>
    <w:rsid w:val="008040B6"/>
    <w:rsid w:val="00804C6D"/>
    <w:rsid w:val="00805C2B"/>
    <w:rsid w:val="00806B8A"/>
    <w:rsid w:val="0080764F"/>
    <w:rsid w:val="00811030"/>
    <w:rsid w:val="00812320"/>
    <w:rsid w:val="00813326"/>
    <w:rsid w:val="008134DB"/>
    <w:rsid w:val="0082140E"/>
    <w:rsid w:val="00822A2B"/>
    <w:rsid w:val="00826607"/>
    <w:rsid w:val="00830C25"/>
    <w:rsid w:val="00833137"/>
    <w:rsid w:val="0084126F"/>
    <w:rsid w:val="008430C0"/>
    <w:rsid w:val="00845415"/>
    <w:rsid w:val="0085195F"/>
    <w:rsid w:val="008519B4"/>
    <w:rsid w:val="008521ED"/>
    <w:rsid w:val="00853A6D"/>
    <w:rsid w:val="008542FF"/>
    <w:rsid w:val="00855DB9"/>
    <w:rsid w:val="008564F2"/>
    <w:rsid w:val="00860475"/>
    <w:rsid w:val="008607F9"/>
    <w:rsid w:val="00860B14"/>
    <w:rsid w:val="00864613"/>
    <w:rsid w:val="00866B0A"/>
    <w:rsid w:val="00870197"/>
    <w:rsid w:val="00870A4F"/>
    <w:rsid w:val="00871739"/>
    <w:rsid w:val="00872627"/>
    <w:rsid w:val="0087312C"/>
    <w:rsid w:val="00875625"/>
    <w:rsid w:val="00876052"/>
    <w:rsid w:val="0088227A"/>
    <w:rsid w:val="008850E8"/>
    <w:rsid w:val="0088512B"/>
    <w:rsid w:val="00886C3B"/>
    <w:rsid w:val="00890B5C"/>
    <w:rsid w:val="008911D9"/>
    <w:rsid w:val="00891FF3"/>
    <w:rsid w:val="0089270F"/>
    <w:rsid w:val="008932F9"/>
    <w:rsid w:val="0089405E"/>
    <w:rsid w:val="008A01E5"/>
    <w:rsid w:val="008A0F40"/>
    <w:rsid w:val="008A559E"/>
    <w:rsid w:val="008A6D57"/>
    <w:rsid w:val="008B2599"/>
    <w:rsid w:val="008B4C2C"/>
    <w:rsid w:val="008B573D"/>
    <w:rsid w:val="008B5D34"/>
    <w:rsid w:val="008C11D8"/>
    <w:rsid w:val="008C20E7"/>
    <w:rsid w:val="008C2807"/>
    <w:rsid w:val="008C390A"/>
    <w:rsid w:val="008C6349"/>
    <w:rsid w:val="008D07A5"/>
    <w:rsid w:val="008D1288"/>
    <w:rsid w:val="008D23C9"/>
    <w:rsid w:val="008D2B4E"/>
    <w:rsid w:val="008D72A0"/>
    <w:rsid w:val="008D779A"/>
    <w:rsid w:val="008D7A23"/>
    <w:rsid w:val="008E0537"/>
    <w:rsid w:val="008E0673"/>
    <w:rsid w:val="008E15FD"/>
    <w:rsid w:val="008E1A8A"/>
    <w:rsid w:val="008E74D6"/>
    <w:rsid w:val="008E7FB7"/>
    <w:rsid w:val="008F0CFB"/>
    <w:rsid w:val="008F38E1"/>
    <w:rsid w:val="008F5FDF"/>
    <w:rsid w:val="00903C66"/>
    <w:rsid w:val="00903E7C"/>
    <w:rsid w:val="00905D5A"/>
    <w:rsid w:val="00906ADC"/>
    <w:rsid w:val="00906CA4"/>
    <w:rsid w:val="00907D55"/>
    <w:rsid w:val="00910F95"/>
    <w:rsid w:val="00912997"/>
    <w:rsid w:val="00912D75"/>
    <w:rsid w:val="00913316"/>
    <w:rsid w:val="00913673"/>
    <w:rsid w:val="009137C3"/>
    <w:rsid w:val="00913E56"/>
    <w:rsid w:val="0091534A"/>
    <w:rsid w:val="00917D1C"/>
    <w:rsid w:val="009219CB"/>
    <w:rsid w:val="00923710"/>
    <w:rsid w:val="00923F82"/>
    <w:rsid w:val="009241CE"/>
    <w:rsid w:val="00925CA2"/>
    <w:rsid w:val="00930F76"/>
    <w:rsid w:val="009323EC"/>
    <w:rsid w:val="00932E91"/>
    <w:rsid w:val="00933B9B"/>
    <w:rsid w:val="00934419"/>
    <w:rsid w:val="00934CF2"/>
    <w:rsid w:val="0093622E"/>
    <w:rsid w:val="00936BDB"/>
    <w:rsid w:val="00937332"/>
    <w:rsid w:val="00937C2D"/>
    <w:rsid w:val="00940B8E"/>
    <w:rsid w:val="00941810"/>
    <w:rsid w:val="00946CBE"/>
    <w:rsid w:val="009470F5"/>
    <w:rsid w:val="00950244"/>
    <w:rsid w:val="009505AB"/>
    <w:rsid w:val="00951BE6"/>
    <w:rsid w:val="00952B4A"/>
    <w:rsid w:val="009535B4"/>
    <w:rsid w:val="00955EED"/>
    <w:rsid w:val="00961DA0"/>
    <w:rsid w:val="00965DB4"/>
    <w:rsid w:val="00965FF3"/>
    <w:rsid w:val="00966FF0"/>
    <w:rsid w:val="00967613"/>
    <w:rsid w:val="0097473B"/>
    <w:rsid w:val="0097512E"/>
    <w:rsid w:val="00975DAF"/>
    <w:rsid w:val="00976FEA"/>
    <w:rsid w:val="00977A59"/>
    <w:rsid w:val="00977F5C"/>
    <w:rsid w:val="009804FE"/>
    <w:rsid w:val="00980C62"/>
    <w:rsid w:val="00981466"/>
    <w:rsid w:val="00982F5D"/>
    <w:rsid w:val="009837C5"/>
    <w:rsid w:val="00983FF0"/>
    <w:rsid w:val="00986D24"/>
    <w:rsid w:val="009874A8"/>
    <w:rsid w:val="00991079"/>
    <w:rsid w:val="009932A7"/>
    <w:rsid w:val="00994126"/>
    <w:rsid w:val="00994C00"/>
    <w:rsid w:val="00996863"/>
    <w:rsid w:val="00996F9C"/>
    <w:rsid w:val="009A0951"/>
    <w:rsid w:val="009A27E0"/>
    <w:rsid w:val="009A436E"/>
    <w:rsid w:val="009A52BE"/>
    <w:rsid w:val="009A7C91"/>
    <w:rsid w:val="009A7DA1"/>
    <w:rsid w:val="009B0872"/>
    <w:rsid w:val="009B108B"/>
    <w:rsid w:val="009B2C2B"/>
    <w:rsid w:val="009B3175"/>
    <w:rsid w:val="009B717C"/>
    <w:rsid w:val="009C18D0"/>
    <w:rsid w:val="009C3441"/>
    <w:rsid w:val="009C3F1D"/>
    <w:rsid w:val="009C5531"/>
    <w:rsid w:val="009C6B08"/>
    <w:rsid w:val="009C71C6"/>
    <w:rsid w:val="009D18A2"/>
    <w:rsid w:val="009D4630"/>
    <w:rsid w:val="009E3E50"/>
    <w:rsid w:val="009E492E"/>
    <w:rsid w:val="009E6CB5"/>
    <w:rsid w:val="009E7282"/>
    <w:rsid w:val="009E7F35"/>
    <w:rsid w:val="009F14F3"/>
    <w:rsid w:val="009F2305"/>
    <w:rsid w:val="009F2F04"/>
    <w:rsid w:val="009F429D"/>
    <w:rsid w:val="009F4D7E"/>
    <w:rsid w:val="009F5B76"/>
    <w:rsid w:val="009F7256"/>
    <w:rsid w:val="00A0146C"/>
    <w:rsid w:val="00A032C9"/>
    <w:rsid w:val="00A04E2C"/>
    <w:rsid w:val="00A04E8E"/>
    <w:rsid w:val="00A058AD"/>
    <w:rsid w:val="00A10F32"/>
    <w:rsid w:val="00A12ADE"/>
    <w:rsid w:val="00A13E50"/>
    <w:rsid w:val="00A14B86"/>
    <w:rsid w:val="00A154CA"/>
    <w:rsid w:val="00A17B8F"/>
    <w:rsid w:val="00A17D3F"/>
    <w:rsid w:val="00A17EB4"/>
    <w:rsid w:val="00A2087A"/>
    <w:rsid w:val="00A20C4A"/>
    <w:rsid w:val="00A233F9"/>
    <w:rsid w:val="00A24C8A"/>
    <w:rsid w:val="00A27745"/>
    <w:rsid w:val="00A33B0B"/>
    <w:rsid w:val="00A34E16"/>
    <w:rsid w:val="00A352F5"/>
    <w:rsid w:val="00A35F88"/>
    <w:rsid w:val="00A3638F"/>
    <w:rsid w:val="00A36C10"/>
    <w:rsid w:val="00A404F1"/>
    <w:rsid w:val="00A4134F"/>
    <w:rsid w:val="00A41365"/>
    <w:rsid w:val="00A46E0C"/>
    <w:rsid w:val="00A470C4"/>
    <w:rsid w:val="00A47596"/>
    <w:rsid w:val="00A47C6F"/>
    <w:rsid w:val="00A509E5"/>
    <w:rsid w:val="00A52778"/>
    <w:rsid w:val="00A542F6"/>
    <w:rsid w:val="00A569CA"/>
    <w:rsid w:val="00A622F8"/>
    <w:rsid w:val="00A62840"/>
    <w:rsid w:val="00A63EA8"/>
    <w:rsid w:val="00A70604"/>
    <w:rsid w:val="00A7167A"/>
    <w:rsid w:val="00A71ADD"/>
    <w:rsid w:val="00A71FB3"/>
    <w:rsid w:val="00A73424"/>
    <w:rsid w:val="00A7642F"/>
    <w:rsid w:val="00A77AF1"/>
    <w:rsid w:val="00A8130C"/>
    <w:rsid w:val="00A8219E"/>
    <w:rsid w:val="00A83E12"/>
    <w:rsid w:val="00A84CF4"/>
    <w:rsid w:val="00A8692B"/>
    <w:rsid w:val="00A87115"/>
    <w:rsid w:val="00A87323"/>
    <w:rsid w:val="00A87D97"/>
    <w:rsid w:val="00A903B7"/>
    <w:rsid w:val="00A91B65"/>
    <w:rsid w:val="00A922C0"/>
    <w:rsid w:val="00A92A49"/>
    <w:rsid w:val="00A93FCB"/>
    <w:rsid w:val="00AA0EC6"/>
    <w:rsid w:val="00AA415F"/>
    <w:rsid w:val="00AA5144"/>
    <w:rsid w:val="00AA62AE"/>
    <w:rsid w:val="00AA747B"/>
    <w:rsid w:val="00AB2614"/>
    <w:rsid w:val="00AB5DD2"/>
    <w:rsid w:val="00AC7261"/>
    <w:rsid w:val="00AC7416"/>
    <w:rsid w:val="00AC7919"/>
    <w:rsid w:val="00AD192E"/>
    <w:rsid w:val="00AD2424"/>
    <w:rsid w:val="00AD2920"/>
    <w:rsid w:val="00AD347E"/>
    <w:rsid w:val="00AD4CD7"/>
    <w:rsid w:val="00AD6A22"/>
    <w:rsid w:val="00AE1714"/>
    <w:rsid w:val="00AE18CF"/>
    <w:rsid w:val="00AE357D"/>
    <w:rsid w:val="00AE553E"/>
    <w:rsid w:val="00AE5C2C"/>
    <w:rsid w:val="00AF26E2"/>
    <w:rsid w:val="00AF4EC8"/>
    <w:rsid w:val="00AF5069"/>
    <w:rsid w:val="00B01931"/>
    <w:rsid w:val="00B01C4B"/>
    <w:rsid w:val="00B032D4"/>
    <w:rsid w:val="00B04270"/>
    <w:rsid w:val="00B064EF"/>
    <w:rsid w:val="00B07374"/>
    <w:rsid w:val="00B101F9"/>
    <w:rsid w:val="00B10402"/>
    <w:rsid w:val="00B10710"/>
    <w:rsid w:val="00B116A9"/>
    <w:rsid w:val="00B12E21"/>
    <w:rsid w:val="00B211CC"/>
    <w:rsid w:val="00B22A16"/>
    <w:rsid w:val="00B23513"/>
    <w:rsid w:val="00B260D3"/>
    <w:rsid w:val="00B26148"/>
    <w:rsid w:val="00B264F2"/>
    <w:rsid w:val="00B27BD4"/>
    <w:rsid w:val="00B27D48"/>
    <w:rsid w:val="00B30619"/>
    <w:rsid w:val="00B31386"/>
    <w:rsid w:val="00B33892"/>
    <w:rsid w:val="00B40341"/>
    <w:rsid w:val="00B42A8A"/>
    <w:rsid w:val="00B474BE"/>
    <w:rsid w:val="00B50E49"/>
    <w:rsid w:val="00B526CB"/>
    <w:rsid w:val="00B55D33"/>
    <w:rsid w:val="00B56B29"/>
    <w:rsid w:val="00B57B36"/>
    <w:rsid w:val="00B61615"/>
    <w:rsid w:val="00B64AA9"/>
    <w:rsid w:val="00B64B65"/>
    <w:rsid w:val="00B65800"/>
    <w:rsid w:val="00B672CD"/>
    <w:rsid w:val="00B72CEC"/>
    <w:rsid w:val="00B73195"/>
    <w:rsid w:val="00B744D3"/>
    <w:rsid w:val="00B74A6D"/>
    <w:rsid w:val="00B75329"/>
    <w:rsid w:val="00B76ACD"/>
    <w:rsid w:val="00B7777C"/>
    <w:rsid w:val="00B777B7"/>
    <w:rsid w:val="00B82C62"/>
    <w:rsid w:val="00B91159"/>
    <w:rsid w:val="00B926E5"/>
    <w:rsid w:val="00B95591"/>
    <w:rsid w:val="00B970B7"/>
    <w:rsid w:val="00BA00A7"/>
    <w:rsid w:val="00BA3187"/>
    <w:rsid w:val="00BA5D12"/>
    <w:rsid w:val="00BA5FF7"/>
    <w:rsid w:val="00BB5189"/>
    <w:rsid w:val="00BB5C46"/>
    <w:rsid w:val="00BC2865"/>
    <w:rsid w:val="00BC4242"/>
    <w:rsid w:val="00BD1E2A"/>
    <w:rsid w:val="00BD41B7"/>
    <w:rsid w:val="00BD758A"/>
    <w:rsid w:val="00BE35E1"/>
    <w:rsid w:val="00BE3B2E"/>
    <w:rsid w:val="00BE7CA8"/>
    <w:rsid w:val="00BF1786"/>
    <w:rsid w:val="00BF2A80"/>
    <w:rsid w:val="00BF3791"/>
    <w:rsid w:val="00BF3D9B"/>
    <w:rsid w:val="00BF425B"/>
    <w:rsid w:val="00BF7182"/>
    <w:rsid w:val="00BF7524"/>
    <w:rsid w:val="00C0099C"/>
    <w:rsid w:val="00C0297B"/>
    <w:rsid w:val="00C045B0"/>
    <w:rsid w:val="00C07968"/>
    <w:rsid w:val="00C07A4B"/>
    <w:rsid w:val="00C12BB8"/>
    <w:rsid w:val="00C137F0"/>
    <w:rsid w:val="00C13FE3"/>
    <w:rsid w:val="00C16DB4"/>
    <w:rsid w:val="00C174FD"/>
    <w:rsid w:val="00C17B22"/>
    <w:rsid w:val="00C17F06"/>
    <w:rsid w:val="00C21034"/>
    <w:rsid w:val="00C21E38"/>
    <w:rsid w:val="00C222D1"/>
    <w:rsid w:val="00C231BB"/>
    <w:rsid w:val="00C2377A"/>
    <w:rsid w:val="00C32C3A"/>
    <w:rsid w:val="00C33B20"/>
    <w:rsid w:val="00C347F4"/>
    <w:rsid w:val="00C35B74"/>
    <w:rsid w:val="00C377C8"/>
    <w:rsid w:val="00C409B6"/>
    <w:rsid w:val="00C426B8"/>
    <w:rsid w:val="00C471AF"/>
    <w:rsid w:val="00C500FB"/>
    <w:rsid w:val="00C504C1"/>
    <w:rsid w:val="00C57526"/>
    <w:rsid w:val="00C60DB4"/>
    <w:rsid w:val="00C6114B"/>
    <w:rsid w:val="00C618EF"/>
    <w:rsid w:val="00C62179"/>
    <w:rsid w:val="00C62293"/>
    <w:rsid w:val="00C635FB"/>
    <w:rsid w:val="00C64602"/>
    <w:rsid w:val="00C66860"/>
    <w:rsid w:val="00C72A08"/>
    <w:rsid w:val="00C76371"/>
    <w:rsid w:val="00C7654A"/>
    <w:rsid w:val="00C7688C"/>
    <w:rsid w:val="00C77A5B"/>
    <w:rsid w:val="00C823DC"/>
    <w:rsid w:val="00C82AC0"/>
    <w:rsid w:val="00C85999"/>
    <w:rsid w:val="00C86F38"/>
    <w:rsid w:val="00C90EFF"/>
    <w:rsid w:val="00C924D1"/>
    <w:rsid w:val="00C93A5F"/>
    <w:rsid w:val="00C96BD9"/>
    <w:rsid w:val="00CA0C70"/>
    <w:rsid w:val="00CA2A23"/>
    <w:rsid w:val="00CA595B"/>
    <w:rsid w:val="00CA6905"/>
    <w:rsid w:val="00CB04F7"/>
    <w:rsid w:val="00CB1FE1"/>
    <w:rsid w:val="00CB36FF"/>
    <w:rsid w:val="00CB417F"/>
    <w:rsid w:val="00CB4808"/>
    <w:rsid w:val="00CB5D3B"/>
    <w:rsid w:val="00CB6AB3"/>
    <w:rsid w:val="00CB6CE2"/>
    <w:rsid w:val="00CC0F34"/>
    <w:rsid w:val="00CC10E7"/>
    <w:rsid w:val="00CC167D"/>
    <w:rsid w:val="00CC2742"/>
    <w:rsid w:val="00CC43B6"/>
    <w:rsid w:val="00CC5432"/>
    <w:rsid w:val="00CC6BB9"/>
    <w:rsid w:val="00CC73A8"/>
    <w:rsid w:val="00CD1565"/>
    <w:rsid w:val="00CD18B2"/>
    <w:rsid w:val="00CD1EEE"/>
    <w:rsid w:val="00CD2AF0"/>
    <w:rsid w:val="00CD39EC"/>
    <w:rsid w:val="00CD4B09"/>
    <w:rsid w:val="00CD6401"/>
    <w:rsid w:val="00CE0308"/>
    <w:rsid w:val="00CE03A0"/>
    <w:rsid w:val="00CE0A28"/>
    <w:rsid w:val="00CE2B6F"/>
    <w:rsid w:val="00CE2FE9"/>
    <w:rsid w:val="00CE3E14"/>
    <w:rsid w:val="00CE3FFC"/>
    <w:rsid w:val="00CF2A33"/>
    <w:rsid w:val="00CF48CF"/>
    <w:rsid w:val="00CF48EE"/>
    <w:rsid w:val="00CF504A"/>
    <w:rsid w:val="00CF59A7"/>
    <w:rsid w:val="00CF743B"/>
    <w:rsid w:val="00D040DE"/>
    <w:rsid w:val="00D04DC6"/>
    <w:rsid w:val="00D054E6"/>
    <w:rsid w:val="00D074E1"/>
    <w:rsid w:val="00D1037F"/>
    <w:rsid w:val="00D11CBA"/>
    <w:rsid w:val="00D12A30"/>
    <w:rsid w:val="00D1410B"/>
    <w:rsid w:val="00D14D28"/>
    <w:rsid w:val="00D16433"/>
    <w:rsid w:val="00D179CC"/>
    <w:rsid w:val="00D22B7F"/>
    <w:rsid w:val="00D2411B"/>
    <w:rsid w:val="00D26648"/>
    <w:rsid w:val="00D27080"/>
    <w:rsid w:val="00D33EF7"/>
    <w:rsid w:val="00D346D2"/>
    <w:rsid w:val="00D3693F"/>
    <w:rsid w:val="00D41205"/>
    <w:rsid w:val="00D43A79"/>
    <w:rsid w:val="00D45FE5"/>
    <w:rsid w:val="00D467E3"/>
    <w:rsid w:val="00D52264"/>
    <w:rsid w:val="00D53595"/>
    <w:rsid w:val="00D54FEE"/>
    <w:rsid w:val="00D55502"/>
    <w:rsid w:val="00D55952"/>
    <w:rsid w:val="00D562D2"/>
    <w:rsid w:val="00D616B0"/>
    <w:rsid w:val="00D63544"/>
    <w:rsid w:val="00D65807"/>
    <w:rsid w:val="00D65ADD"/>
    <w:rsid w:val="00D83649"/>
    <w:rsid w:val="00D8594A"/>
    <w:rsid w:val="00D86A9E"/>
    <w:rsid w:val="00D86F3B"/>
    <w:rsid w:val="00D8797A"/>
    <w:rsid w:val="00D90591"/>
    <w:rsid w:val="00D922A1"/>
    <w:rsid w:val="00D94834"/>
    <w:rsid w:val="00DA1EBE"/>
    <w:rsid w:val="00DA4427"/>
    <w:rsid w:val="00DA446D"/>
    <w:rsid w:val="00DA7AA9"/>
    <w:rsid w:val="00DB1480"/>
    <w:rsid w:val="00DB276B"/>
    <w:rsid w:val="00DB429C"/>
    <w:rsid w:val="00DC08BB"/>
    <w:rsid w:val="00DC11B6"/>
    <w:rsid w:val="00DC1DB0"/>
    <w:rsid w:val="00DC2638"/>
    <w:rsid w:val="00DC2D00"/>
    <w:rsid w:val="00DC4192"/>
    <w:rsid w:val="00DC4AD1"/>
    <w:rsid w:val="00DC6782"/>
    <w:rsid w:val="00DC77A5"/>
    <w:rsid w:val="00DD034B"/>
    <w:rsid w:val="00DD1A8B"/>
    <w:rsid w:val="00DD2CA4"/>
    <w:rsid w:val="00DD6447"/>
    <w:rsid w:val="00DD676F"/>
    <w:rsid w:val="00DE1EFD"/>
    <w:rsid w:val="00DE223F"/>
    <w:rsid w:val="00DE67CC"/>
    <w:rsid w:val="00DF250A"/>
    <w:rsid w:val="00DF3677"/>
    <w:rsid w:val="00DF3ECB"/>
    <w:rsid w:val="00DF4543"/>
    <w:rsid w:val="00DF4F17"/>
    <w:rsid w:val="00DF5940"/>
    <w:rsid w:val="00DF74C6"/>
    <w:rsid w:val="00E002AB"/>
    <w:rsid w:val="00E0266B"/>
    <w:rsid w:val="00E07464"/>
    <w:rsid w:val="00E1056E"/>
    <w:rsid w:val="00E116ED"/>
    <w:rsid w:val="00E140AB"/>
    <w:rsid w:val="00E17528"/>
    <w:rsid w:val="00E21252"/>
    <w:rsid w:val="00E2180C"/>
    <w:rsid w:val="00E237CE"/>
    <w:rsid w:val="00E237CF"/>
    <w:rsid w:val="00E247DB"/>
    <w:rsid w:val="00E27AF9"/>
    <w:rsid w:val="00E3177F"/>
    <w:rsid w:val="00E31C81"/>
    <w:rsid w:val="00E31D9E"/>
    <w:rsid w:val="00E342AE"/>
    <w:rsid w:val="00E344FA"/>
    <w:rsid w:val="00E366EB"/>
    <w:rsid w:val="00E4033E"/>
    <w:rsid w:val="00E4058E"/>
    <w:rsid w:val="00E406B9"/>
    <w:rsid w:val="00E4124C"/>
    <w:rsid w:val="00E42AAD"/>
    <w:rsid w:val="00E42BA6"/>
    <w:rsid w:val="00E42C9F"/>
    <w:rsid w:val="00E4402F"/>
    <w:rsid w:val="00E4409B"/>
    <w:rsid w:val="00E458B0"/>
    <w:rsid w:val="00E50B37"/>
    <w:rsid w:val="00E511C2"/>
    <w:rsid w:val="00E51482"/>
    <w:rsid w:val="00E5391E"/>
    <w:rsid w:val="00E543DA"/>
    <w:rsid w:val="00E576F1"/>
    <w:rsid w:val="00E57B3F"/>
    <w:rsid w:val="00E57D43"/>
    <w:rsid w:val="00E60AFE"/>
    <w:rsid w:val="00E61DB8"/>
    <w:rsid w:val="00E62E28"/>
    <w:rsid w:val="00E652D1"/>
    <w:rsid w:val="00E65538"/>
    <w:rsid w:val="00E66F3B"/>
    <w:rsid w:val="00E676E9"/>
    <w:rsid w:val="00E74570"/>
    <w:rsid w:val="00E80587"/>
    <w:rsid w:val="00E82E64"/>
    <w:rsid w:val="00E83360"/>
    <w:rsid w:val="00E8443D"/>
    <w:rsid w:val="00E85217"/>
    <w:rsid w:val="00E87130"/>
    <w:rsid w:val="00E915B0"/>
    <w:rsid w:val="00E9179D"/>
    <w:rsid w:val="00E9281A"/>
    <w:rsid w:val="00E92FBF"/>
    <w:rsid w:val="00E93E85"/>
    <w:rsid w:val="00E9705F"/>
    <w:rsid w:val="00E971C2"/>
    <w:rsid w:val="00EA06F1"/>
    <w:rsid w:val="00EA07CF"/>
    <w:rsid w:val="00EA130F"/>
    <w:rsid w:val="00EA1B58"/>
    <w:rsid w:val="00EA41B2"/>
    <w:rsid w:val="00EA4B94"/>
    <w:rsid w:val="00EA624E"/>
    <w:rsid w:val="00EB0EA1"/>
    <w:rsid w:val="00EB1D3A"/>
    <w:rsid w:val="00EB247D"/>
    <w:rsid w:val="00EB2E9F"/>
    <w:rsid w:val="00EB3408"/>
    <w:rsid w:val="00EB4409"/>
    <w:rsid w:val="00EB4967"/>
    <w:rsid w:val="00EB6294"/>
    <w:rsid w:val="00EC0FA1"/>
    <w:rsid w:val="00EC18F2"/>
    <w:rsid w:val="00EC21C7"/>
    <w:rsid w:val="00EC291A"/>
    <w:rsid w:val="00EC48EB"/>
    <w:rsid w:val="00EC4AE6"/>
    <w:rsid w:val="00EC5117"/>
    <w:rsid w:val="00EC6F2D"/>
    <w:rsid w:val="00ED23AE"/>
    <w:rsid w:val="00ED26D9"/>
    <w:rsid w:val="00ED3428"/>
    <w:rsid w:val="00ED437D"/>
    <w:rsid w:val="00ED47F8"/>
    <w:rsid w:val="00ED5F10"/>
    <w:rsid w:val="00ED7BE5"/>
    <w:rsid w:val="00ED7CAC"/>
    <w:rsid w:val="00EE0FE2"/>
    <w:rsid w:val="00EE3A3D"/>
    <w:rsid w:val="00EE5D53"/>
    <w:rsid w:val="00EE6D8A"/>
    <w:rsid w:val="00EF5EBC"/>
    <w:rsid w:val="00F0019A"/>
    <w:rsid w:val="00F00A19"/>
    <w:rsid w:val="00F0434B"/>
    <w:rsid w:val="00F07033"/>
    <w:rsid w:val="00F07543"/>
    <w:rsid w:val="00F1172E"/>
    <w:rsid w:val="00F1324B"/>
    <w:rsid w:val="00F149B0"/>
    <w:rsid w:val="00F16BE0"/>
    <w:rsid w:val="00F175ED"/>
    <w:rsid w:val="00F21C0A"/>
    <w:rsid w:val="00F22222"/>
    <w:rsid w:val="00F22437"/>
    <w:rsid w:val="00F23C0C"/>
    <w:rsid w:val="00F244A1"/>
    <w:rsid w:val="00F24E3D"/>
    <w:rsid w:val="00F262A0"/>
    <w:rsid w:val="00F27532"/>
    <w:rsid w:val="00F319DF"/>
    <w:rsid w:val="00F34A7A"/>
    <w:rsid w:val="00F356A4"/>
    <w:rsid w:val="00F3723C"/>
    <w:rsid w:val="00F37920"/>
    <w:rsid w:val="00F41B95"/>
    <w:rsid w:val="00F4292E"/>
    <w:rsid w:val="00F451B0"/>
    <w:rsid w:val="00F51711"/>
    <w:rsid w:val="00F523BD"/>
    <w:rsid w:val="00F5277E"/>
    <w:rsid w:val="00F53B11"/>
    <w:rsid w:val="00F55308"/>
    <w:rsid w:val="00F553C3"/>
    <w:rsid w:val="00F604CC"/>
    <w:rsid w:val="00F65DA7"/>
    <w:rsid w:val="00F762F4"/>
    <w:rsid w:val="00F77C92"/>
    <w:rsid w:val="00F80891"/>
    <w:rsid w:val="00F82FA3"/>
    <w:rsid w:val="00F852B5"/>
    <w:rsid w:val="00F856AD"/>
    <w:rsid w:val="00F85985"/>
    <w:rsid w:val="00F90CF0"/>
    <w:rsid w:val="00F925DC"/>
    <w:rsid w:val="00F93D87"/>
    <w:rsid w:val="00F9438C"/>
    <w:rsid w:val="00F955FF"/>
    <w:rsid w:val="00F96A18"/>
    <w:rsid w:val="00FA0D4C"/>
    <w:rsid w:val="00FA2C92"/>
    <w:rsid w:val="00FA2D72"/>
    <w:rsid w:val="00FA2DE2"/>
    <w:rsid w:val="00FA4A93"/>
    <w:rsid w:val="00FA5D49"/>
    <w:rsid w:val="00FA6A89"/>
    <w:rsid w:val="00FB1C1C"/>
    <w:rsid w:val="00FB2303"/>
    <w:rsid w:val="00FB54D5"/>
    <w:rsid w:val="00FB5CD2"/>
    <w:rsid w:val="00FB645E"/>
    <w:rsid w:val="00FC5601"/>
    <w:rsid w:val="00FC5B7D"/>
    <w:rsid w:val="00FC5C46"/>
    <w:rsid w:val="00FC5EC2"/>
    <w:rsid w:val="00FC7EA2"/>
    <w:rsid w:val="00FD2000"/>
    <w:rsid w:val="00FD24E6"/>
    <w:rsid w:val="00FD2D58"/>
    <w:rsid w:val="00FD457D"/>
    <w:rsid w:val="00FD768E"/>
    <w:rsid w:val="00FD7E15"/>
    <w:rsid w:val="00FE3149"/>
    <w:rsid w:val="00FE465D"/>
    <w:rsid w:val="00FE4E00"/>
    <w:rsid w:val="00FE5522"/>
    <w:rsid w:val="00FE5742"/>
    <w:rsid w:val="00FE7C5B"/>
    <w:rsid w:val="00FE7E7B"/>
    <w:rsid w:val="00FF0939"/>
    <w:rsid w:val="00FF2604"/>
    <w:rsid w:val="00FF3F6B"/>
    <w:rsid w:val="00FF7A56"/>
    <w:rsid w:val="00FF7DBE"/>
    <w:rsid w:val="010D7FD9"/>
    <w:rsid w:val="011B5508"/>
    <w:rsid w:val="01237CD2"/>
    <w:rsid w:val="012D66CB"/>
    <w:rsid w:val="016B0751"/>
    <w:rsid w:val="016F1346"/>
    <w:rsid w:val="016F4ABC"/>
    <w:rsid w:val="018D5CC0"/>
    <w:rsid w:val="01940FCA"/>
    <w:rsid w:val="01A14F5C"/>
    <w:rsid w:val="01CA228E"/>
    <w:rsid w:val="01D13ED1"/>
    <w:rsid w:val="01E8247E"/>
    <w:rsid w:val="01F71BDA"/>
    <w:rsid w:val="02077FA2"/>
    <w:rsid w:val="02127F25"/>
    <w:rsid w:val="025A091C"/>
    <w:rsid w:val="0261290B"/>
    <w:rsid w:val="02622B6B"/>
    <w:rsid w:val="026929FF"/>
    <w:rsid w:val="02836232"/>
    <w:rsid w:val="02881FBA"/>
    <w:rsid w:val="029720B6"/>
    <w:rsid w:val="029E1203"/>
    <w:rsid w:val="02B47688"/>
    <w:rsid w:val="02BF5317"/>
    <w:rsid w:val="02D6172F"/>
    <w:rsid w:val="02DA0F38"/>
    <w:rsid w:val="02E92C8D"/>
    <w:rsid w:val="03186031"/>
    <w:rsid w:val="032B053F"/>
    <w:rsid w:val="03352B8F"/>
    <w:rsid w:val="03433F84"/>
    <w:rsid w:val="03565C10"/>
    <w:rsid w:val="038F4C21"/>
    <w:rsid w:val="03923DEF"/>
    <w:rsid w:val="03C255BA"/>
    <w:rsid w:val="03CC2705"/>
    <w:rsid w:val="03D13E4F"/>
    <w:rsid w:val="03DB2126"/>
    <w:rsid w:val="03EE3FF4"/>
    <w:rsid w:val="03EE6E93"/>
    <w:rsid w:val="03EF210B"/>
    <w:rsid w:val="03F03035"/>
    <w:rsid w:val="04100E33"/>
    <w:rsid w:val="041F1815"/>
    <w:rsid w:val="043323A1"/>
    <w:rsid w:val="04390EE3"/>
    <w:rsid w:val="044F55B9"/>
    <w:rsid w:val="045967CE"/>
    <w:rsid w:val="04642403"/>
    <w:rsid w:val="04685BE9"/>
    <w:rsid w:val="04716658"/>
    <w:rsid w:val="04904C6F"/>
    <w:rsid w:val="04A703F7"/>
    <w:rsid w:val="04B039B6"/>
    <w:rsid w:val="04B45024"/>
    <w:rsid w:val="04E8539D"/>
    <w:rsid w:val="05061BB4"/>
    <w:rsid w:val="05065BAA"/>
    <w:rsid w:val="050C2AFE"/>
    <w:rsid w:val="052179B2"/>
    <w:rsid w:val="052D5E86"/>
    <w:rsid w:val="052D7B5A"/>
    <w:rsid w:val="0539486A"/>
    <w:rsid w:val="05526FF2"/>
    <w:rsid w:val="05561B93"/>
    <w:rsid w:val="05B56812"/>
    <w:rsid w:val="05B70EED"/>
    <w:rsid w:val="05CD030F"/>
    <w:rsid w:val="05EA657E"/>
    <w:rsid w:val="05ED2BE6"/>
    <w:rsid w:val="05FC567E"/>
    <w:rsid w:val="0606791F"/>
    <w:rsid w:val="062C4416"/>
    <w:rsid w:val="06311EEF"/>
    <w:rsid w:val="06510A1C"/>
    <w:rsid w:val="067A5586"/>
    <w:rsid w:val="06832493"/>
    <w:rsid w:val="068756DE"/>
    <w:rsid w:val="06A360F3"/>
    <w:rsid w:val="06B3694F"/>
    <w:rsid w:val="06B4678D"/>
    <w:rsid w:val="06BA7658"/>
    <w:rsid w:val="06C24C31"/>
    <w:rsid w:val="06C32863"/>
    <w:rsid w:val="06C5293F"/>
    <w:rsid w:val="06D25EAA"/>
    <w:rsid w:val="06FD269B"/>
    <w:rsid w:val="07245F78"/>
    <w:rsid w:val="07260948"/>
    <w:rsid w:val="072D2467"/>
    <w:rsid w:val="075E2523"/>
    <w:rsid w:val="076210CA"/>
    <w:rsid w:val="07745F32"/>
    <w:rsid w:val="077F5F69"/>
    <w:rsid w:val="07824CBD"/>
    <w:rsid w:val="079277C2"/>
    <w:rsid w:val="07A30E54"/>
    <w:rsid w:val="07B42F31"/>
    <w:rsid w:val="07BC3B66"/>
    <w:rsid w:val="07D231DE"/>
    <w:rsid w:val="07F007B3"/>
    <w:rsid w:val="08302151"/>
    <w:rsid w:val="08367ABB"/>
    <w:rsid w:val="08373A15"/>
    <w:rsid w:val="083A12F3"/>
    <w:rsid w:val="083E2E96"/>
    <w:rsid w:val="084B7014"/>
    <w:rsid w:val="0856582B"/>
    <w:rsid w:val="087925D8"/>
    <w:rsid w:val="087A11D3"/>
    <w:rsid w:val="087E1023"/>
    <w:rsid w:val="08B21DE6"/>
    <w:rsid w:val="08B3100B"/>
    <w:rsid w:val="08BD2EC5"/>
    <w:rsid w:val="08C700DA"/>
    <w:rsid w:val="08CF2D69"/>
    <w:rsid w:val="08E510A5"/>
    <w:rsid w:val="08E94D0B"/>
    <w:rsid w:val="09030F97"/>
    <w:rsid w:val="091B377D"/>
    <w:rsid w:val="09225477"/>
    <w:rsid w:val="092C3A3A"/>
    <w:rsid w:val="09391B33"/>
    <w:rsid w:val="0959685E"/>
    <w:rsid w:val="096270EA"/>
    <w:rsid w:val="096275CA"/>
    <w:rsid w:val="09665A55"/>
    <w:rsid w:val="09BA4874"/>
    <w:rsid w:val="09C37EEB"/>
    <w:rsid w:val="09D3227F"/>
    <w:rsid w:val="09D6196A"/>
    <w:rsid w:val="09D763DA"/>
    <w:rsid w:val="09F57A27"/>
    <w:rsid w:val="0A4510F3"/>
    <w:rsid w:val="0A575092"/>
    <w:rsid w:val="0A5A1F7D"/>
    <w:rsid w:val="0A7833E4"/>
    <w:rsid w:val="0A871D10"/>
    <w:rsid w:val="0A8A71D2"/>
    <w:rsid w:val="0A910DD6"/>
    <w:rsid w:val="0AAC2E0C"/>
    <w:rsid w:val="0AB873D7"/>
    <w:rsid w:val="0AD3436E"/>
    <w:rsid w:val="0B0D3F2D"/>
    <w:rsid w:val="0B2473D6"/>
    <w:rsid w:val="0B2E5767"/>
    <w:rsid w:val="0B311332"/>
    <w:rsid w:val="0B3F57CF"/>
    <w:rsid w:val="0B5C617C"/>
    <w:rsid w:val="0B6642EF"/>
    <w:rsid w:val="0B696551"/>
    <w:rsid w:val="0B6B544E"/>
    <w:rsid w:val="0B894D25"/>
    <w:rsid w:val="0B9E0178"/>
    <w:rsid w:val="0BC3016C"/>
    <w:rsid w:val="0BCC0382"/>
    <w:rsid w:val="0BD409B6"/>
    <w:rsid w:val="0BE8391A"/>
    <w:rsid w:val="0BFF407B"/>
    <w:rsid w:val="0C0D5915"/>
    <w:rsid w:val="0C173DF1"/>
    <w:rsid w:val="0C19485A"/>
    <w:rsid w:val="0C1C7A9C"/>
    <w:rsid w:val="0C4629B1"/>
    <w:rsid w:val="0C5110A1"/>
    <w:rsid w:val="0C65368E"/>
    <w:rsid w:val="0C8702CC"/>
    <w:rsid w:val="0CA51775"/>
    <w:rsid w:val="0CA52036"/>
    <w:rsid w:val="0CC06D77"/>
    <w:rsid w:val="0CD847B5"/>
    <w:rsid w:val="0CF01EFD"/>
    <w:rsid w:val="0CFE0926"/>
    <w:rsid w:val="0D00571A"/>
    <w:rsid w:val="0D052106"/>
    <w:rsid w:val="0D1F693A"/>
    <w:rsid w:val="0D241107"/>
    <w:rsid w:val="0D2D16FA"/>
    <w:rsid w:val="0D4D74CB"/>
    <w:rsid w:val="0D673A04"/>
    <w:rsid w:val="0D811A7D"/>
    <w:rsid w:val="0DA51843"/>
    <w:rsid w:val="0DBD735C"/>
    <w:rsid w:val="0DCF2837"/>
    <w:rsid w:val="0DD50E17"/>
    <w:rsid w:val="0DFD0A15"/>
    <w:rsid w:val="0E2C3E3D"/>
    <w:rsid w:val="0E303D9B"/>
    <w:rsid w:val="0E3F39B4"/>
    <w:rsid w:val="0E410C81"/>
    <w:rsid w:val="0E427B9F"/>
    <w:rsid w:val="0E4F0D4B"/>
    <w:rsid w:val="0E660B44"/>
    <w:rsid w:val="0E695B5F"/>
    <w:rsid w:val="0E71409B"/>
    <w:rsid w:val="0E720B79"/>
    <w:rsid w:val="0E74072A"/>
    <w:rsid w:val="0E8870D3"/>
    <w:rsid w:val="0E9460CA"/>
    <w:rsid w:val="0E9F3E43"/>
    <w:rsid w:val="0EA20534"/>
    <w:rsid w:val="0EB35B87"/>
    <w:rsid w:val="0EB3632D"/>
    <w:rsid w:val="0EF462A6"/>
    <w:rsid w:val="0F064C5C"/>
    <w:rsid w:val="0F10753C"/>
    <w:rsid w:val="0F1447FD"/>
    <w:rsid w:val="0F2F05E4"/>
    <w:rsid w:val="0F3A667E"/>
    <w:rsid w:val="0F4B77A5"/>
    <w:rsid w:val="0F7066E0"/>
    <w:rsid w:val="0F7A5BCB"/>
    <w:rsid w:val="0F7B5C32"/>
    <w:rsid w:val="0FB748D6"/>
    <w:rsid w:val="0FD447DC"/>
    <w:rsid w:val="0FDF38F0"/>
    <w:rsid w:val="0FE0411E"/>
    <w:rsid w:val="0FE61340"/>
    <w:rsid w:val="0FE93E34"/>
    <w:rsid w:val="0FEC3FF8"/>
    <w:rsid w:val="0FF923A4"/>
    <w:rsid w:val="10042CED"/>
    <w:rsid w:val="100F4159"/>
    <w:rsid w:val="102D3CAD"/>
    <w:rsid w:val="103435D2"/>
    <w:rsid w:val="103E4995"/>
    <w:rsid w:val="10470844"/>
    <w:rsid w:val="108D5B89"/>
    <w:rsid w:val="10926B16"/>
    <w:rsid w:val="109806C7"/>
    <w:rsid w:val="10983529"/>
    <w:rsid w:val="109E0928"/>
    <w:rsid w:val="109E1231"/>
    <w:rsid w:val="10B0475D"/>
    <w:rsid w:val="10B31A87"/>
    <w:rsid w:val="10B704DD"/>
    <w:rsid w:val="10C404A7"/>
    <w:rsid w:val="10FD29EF"/>
    <w:rsid w:val="1101146A"/>
    <w:rsid w:val="111C66E2"/>
    <w:rsid w:val="112B4045"/>
    <w:rsid w:val="11613876"/>
    <w:rsid w:val="116B3023"/>
    <w:rsid w:val="11755B31"/>
    <w:rsid w:val="117E3086"/>
    <w:rsid w:val="11A0102B"/>
    <w:rsid w:val="11A170A5"/>
    <w:rsid w:val="11A77B01"/>
    <w:rsid w:val="11B721A6"/>
    <w:rsid w:val="11B81931"/>
    <w:rsid w:val="11C30AD2"/>
    <w:rsid w:val="11CA10D0"/>
    <w:rsid w:val="11D769E4"/>
    <w:rsid w:val="1209582B"/>
    <w:rsid w:val="12117161"/>
    <w:rsid w:val="12267A1F"/>
    <w:rsid w:val="122C06F8"/>
    <w:rsid w:val="122D1568"/>
    <w:rsid w:val="124061D6"/>
    <w:rsid w:val="1244079E"/>
    <w:rsid w:val="124B5E31"/>
    <w:rsid w:val="124F5FED"/>
    <w:rsid w:val="125B5FC0"/>
    <w:rsid w:val="12A10D2C"/>
    <w:rsid w:val="12C350E5"/>
    <w:rsid w:val="12D17112"/>
    <w:rsid w:val="12DD7CC1"/>
    <w:rsid w:val="130735A9"/>
    <w:rsid w:val="13120C71"/>
    <w:rsid w:val="13125D2C"/>
    <w:rsid w:val="131964A3"/>
    <w:rsid w:val="132B7634"/>
    <w:rsid w:val="133334D7"/>
    <w:rsid w:val="1355278F"/>
    <w:rsid w:val="13593498"/>
    <w:rsid w:val="139841BC"/>
    <w:rsid w:val="13C72C64"/>
    <w:rsid w:val="14074DA2"/>
    <w:rsid w:val="14162B47"/>
    <w:rsid w:val="14162C01"/>
    <w:rsid w:val="141F00F7"/>
    <w:rsid w:val="14210CED"/>
    <w:rsid w:val="14264F86"/>
    <w:rsid w:val="1429048D"/>
    <w:rsid w:val="143934CD"/>
    <w:rsid w:val="14450A2A"/>
    <w:rsid w:val="144E74C6"/>
    <w:rsid w:val="146352FE"/>
    <w:rsid w:val="146A4881"/>
    <w:rsid w:val="146C4FF1"/>
    <w:rsid w:val="1482555D"/>
    <w:rsid w:val="14AD3953"/>
    <w:rsid w:val="14C84160"/>
    <w:rsid w:val="14F02AA8"/>
    <w:rsid w:val="15115398"/>
    <w:rsid w:val="15192D96"/>
    <w:rsid w:val="15205ED3"/>
    <w:rsid w:val="152D13FB"/>
    <w:rsid w:val="15983F15"/>
    <w:rsid w:val="15A61634"/>
    <w:rsid w:val="15D6394F"/>
    <w:rsid w:val="15DA2525"/>
    <w:rsid w:val="15FD333B"/>
    <w:rsid w:val="160773B9"/>
    <w:rsid w:val="160B0E0E"/>
    <w:rsid w:val="16141DC7"/>
    <w:rsid w:val="161A3D1B"/>
    <w:rsid w:val="161B071C"/>
    <w:rsid w:val="16282D67"/>
    <w:rsid w:val="162A6A22"/>
    <w:rsid w:val="162B1164"/>
    <w:rsid w:val="164F4481"/>
    <w:rsid w:val="1660465E"/>
    <w:rsid w:val="16753C6A"/>
    <w:rsid w:val="169459AA"/>
    <w:rsid w:val="16A11AA4"/>
    <w:rsid w:val="16BF3D52"/>
    <w:rsid w:val="16C80323"/>
    <w:rsid w:val="16D41325"/>
    <w:rsid w:val="16D95A3F"/>
    <w:rsid w:val="170567D7"/>
    <w:rsid w:val="1714269A"/>
    <w:rsid w:val="171632D9"/>
    <w:rsid w:val="17394B30"/>
    <w:rsid w:val="174F49CD"/>
    <w:rsid w:val="17721AED"/>
    <w:rsid w:val="17874DE7"/>
    <w:rsid w:val="179123C1"/>
    <w:rsid w:val="17A14B54"/>
    <w:rsid w:val="17AD6D30"/>
    <w:rsid w:val="17B34C50"/>
    <w:rsid w:val="17C1653D"/>
    <w:rsid w:val="17CC3413"/>
    <w:rsid w:val="17D628FB"/>
    <w:rsid w:val="17E330C5"/>
    <w:rsid w:val="17F1542B"/>
    <w:rsid w:val="17FA39C4"/>
    <w:rsid w:val="18292DFC"/>
    <w:rsid w:val="18567E44"/>
    <w:rsid w:val="1889564E"/>
    <w:rsid w:val="189B6437"/>
    <w:rsid w:val="18A94C40"/>
    <w:rsid w:val="18AC075D"/>
    <w:rsid w:val="18CB1086"/>
    <w:rsid w:val="18E018E0"/>
    <w:rsid w:val="18F062E6"/>
    <w:rsid w:val="18F65E3E"/>
    <w:rsid w:val="19021417"/>
    <w:rsid w:val="19041636"/>
    <w:rsid w:val="190C060E"/>
    <w:rsid w:val="19176EA8"/>
    <w:rsid w:val="193000B1"/>
    <w:rsid w:val="19484B7A"/>
    <w:rsid w:val="194E1C2F"/>
    <w:rsid w:val="1965491F"/>
    <w:rsid w:val="196951A7"/>
    <w:rsid w:val="197C2CB4"/>
    <w:rsid w:val="198D747A"/>
    <w:rsid w:val="19A34E19"/>
    <w:rsid w:val="19AD7055"/>
    <w:rsid w:val="19CA72DF"/>
    <w:rsid w:val="19D31E8D"/>
    <w:rsid w:val="19D5786F"/>
    <w:rsid w:val="19DD43B6"/>
    <w:rsid w:val="19EE21E4"/>
    <w:rsid w:val="19F54A47"/>
    <w:rsid w:val="1A163B8F"/>
    <w:rsid w:val="1A1F1C81"/>
    <w:rsid w:val="1A3B69B4"/>
    <w:rsid w:val="1A4D6B4C"/>
    <w:rsid w:val="1A5D684E"/>
    <w:rsid w:val="1A901572"/>
    <w:rsid w:val="1A903C86"/>
    <w:rsid w:val="1AA91E38"/>
    <w:rsid w:val="1ABD6A6B"/>
    <w:rsid w:val="1AE93A27"/>
    <w:rsid w:val="1B023A98"/>
    <w:rsid w:val="1B0364FD"/>
    <w:rsid w:val="1B21148A"/>
    <w:rsid w:val="1B2468A3"/>
    <w:rsid w:val="1B366193"/>
    <w:rsid w:val="1B3B6C37"/>
    <w:rsid w:val="1B407B49"/>
    <w:rsid w:val="1B5025ED"/>
    <w:rsid w:val="1B54628B"/>
    <w:rsid w:val="1B5B6570"/>
    <w:rsid w:val="1B6B4849"/>
    <w:rsid w:val="1B6E10DD"/>
    <w:rsid w:val="1B8D0FC6"/>
    <w:rsid w:val="1BAD0E01"/>
    <w:rsid w:val="1BB10F55"/>
    <w:rsid w:val="1BC30D2A"/>
    <w:rsid w:val="1BFB4C49"/>
    <w:rsid w:val="1BFE0C6C"/>
    <w:rsid w:val="1C093F7B"/>
    <w:rsid w:val="1C142509"/>
    <w:rsid w:val="1C2361BA"/>
    <w:rsid w:val="1C2D602E"/>
    <w:rsid w:val="1C3837A8"/>
    <w:rsid w:val="1C4F318B"/>
    <w:rsid w:val="1C502501"/>
    <w:rsid w:val="1C5F68D0"/>
    <w:rsid w:val="1C6F3AB1"/>
    <w:rsid w:val="1C825FD8"/>
    <w:rsid w:val="1C865067"/>
    <w:rsid w:val="1C9755B0"/>
    <w:rsid w:val="1C9C0E5E"/>
    <w:rsid w:val="1CC659B5"/>
    <w:rsid w:val="1CF12326"/>
    <w:rsid w:val="1CFB43B5"/>
    <w:rsid w:val="1D045180"/>
    <w:rsid w:val="1D051EB1"/>
    <w:rsid w:val="1D1803F3"/>
    <w:rsid w:val="1D4A11ED"/>
    <w:rsid w:val="1D60042E"/>
    <w:rsid w:val="1D60485A"/>
    <w:rsid w:val="1D715E5C"/>
    <w:rsid w:val="1D756426"/>
    <w:rsid w:val="1D987C36"/>
    <w:rsid w:val="1DA03128"/>
    <w:rsid w:val="1DA23622"/>
    <w:rsid w:val="1DA707AC"/>
    <w:rsid w:val="1DAB0CD6"/>
    <w:rsid w:val="1DB319D2"/>
    <w:rsid w:val="1DBA38ED"/>
    <w:rsid w:val="1DCB774C"/>
    <w:rsid w:val="1DD016BE"/>
    <w:rsid w:val="1DD27D2B"/>
    <w:rsid w:val="1E065CC5"/>
    <w:rsid w:val="1E0A372F"/>
    <w:rsid w:val="1E394CE6"/>
    <w:rsid w:val="1E450827"/>
    <w:rsid w:val="1E7063BC"/>
    <w:rsid w:val="1E734449"/>
    <w:rsid w:val="1E761259"/>
    <w:rsid w:val="1E8E4094"/>
    <w:rsid w:val="1E974E47"/>
    <w:rsid w:val="1E9802BC"/>
    <w:rsid w:val="1EA700D7"/>
    <w:rsid w:val="1EB563CE"/>
    <w:rsid w:val="1EC979BF"/>
    <w:rsid w:val="1ECB0BFF"/>
    <w:rsid w:val="1ECE031A"/>
    <w:rsid w:val="1ED202B8"/>
    <w:rsid w:val="1ED358C8"/>
    <w:rsid w:val="1F137065"/>
    <w:rsid w:val="1F204B6A"/>
    <w:rsid w:val="1F5C0875"/>
    <w:rsid w:val="1F5C4703"/>
    <w:rsid w:val="1F722AF5"/>
    <w:rsid w:val="1F734A87"/>
    <w:rsid w:val="1F737DA0"/>
    <w:rsid w:val="1F7A2A66"/>
    <w:rsid w:val="1F8D3469"/>
    <w:rsid w:val="1F951F9D"/>
    <w:rsid w:val="1F95220D"/>
    <w:rsid w:val="1F9A520B"/>
    <w:rsid w:val="1FBD6093"/>
    <w:rsid w:val="1FCE517A"/>
    <w:rsid w:val="1FF7197E"/>
    <w:rsid w:val="1FF91DB9"/>
    <w:rsid w:val="200C4934"/>
    <w:rsid w:val="20224D7B"/>
    <w:rsid w:val="20244217"/>
    <w:rsid w:val="203B49DA"/>
    <w:rsid w:val="204003A3"/>
    <w:rsid w:val="204816D1"/>
    <w:rsid w:val="205C1920"/>
    <w:rsid w:val="206D0BB9"/>
    <w:rsid w:val="20772CEB"/>
    <w:rsid w:val="207B4584"/>
    <w:rsid w:val="20931040"/>
    <w:rsid w:val="209D321F"/>
    <w:rsid w:val="20A5499A"/>
    <w:rsid w:val="20BF6FCD"/>
    <w:rsid w:val="20CE1553"/>
    <w:rsid w:val="20E5798B"/>
    <w:rsid w:val="21385DDA"/>
    <w:rsid w:val="21387C2D"/>
    <w:rsid w:val="213A4AA0"/>
    <w:rsid w:val="21457F93"/>
    <w:rsid w:val="21630DE1"/>
    <w:rsid w:val="21633F4C"/>
    <w:rsid w:val="218E6575"/>
    <w:rsid w:val="219462EB"/>
    <w:rsid w:val="21A8157A"/>
    <w:rsid w:val="21C86BCF"/>
    <w:rsid w:val="21D44B86"/>
    <w:rsid w:val="21E914AE"/>
    <w:rsid w:val="21EF1422"/>
    <w:rsid w:val="22287F00"/>
    <w:rsid w:val="222A77F6"/>
    <w:rsid w:val="223E5191"/>
    <w:rsid w:val="223F45BC"/>
    <w:rsid w:val="22585120"/>
    <w:rsid w:val="226A26BC"/>
    <w:rsid w:val="227670CE"/>
    <w:rsid w:val="22784898"/>
    <w:rsid w:val="228A6AC7"/>
    <w:rsid w:val="228C453A"/>
    <w:rsid w:val="22A05AE6"/>
    <w:rsid w:val="22BC2B0B"/>
    <w:rsid w:val="22D32D1C"/>
    <w:rsid w:val="22D73675"/>
    <w:rsid w:val="22E366B3"/>
    <w:rsid w:val="22F14E03"/>
    <w:rsid w:val="22F8166B"/>
    <w:rsid w:val="23305E7B"/>
    <w:rsid w:val="234C3620"/>
    <w:rsid w:val="23654212"/>
    <w:rsid w:val="23982851"/>
    <w:rsid w:val="23CC789C"/>
    <w:rsid w:val="23D60171"/>
    <w:rsid w:val="23DD4227"/>
    <w:rsid w:val="23EE288C"/>
    <w:rsid w:val="23F956E8"/>
    <w:rsid w:val="23FF1C89"/>
    <w:rsid w:val="2402719D"/>
    <w:rsid w:val="24042922"/>
    <w:rsid w:val="2416630E"/>
    <w:rsid w:val="241E2715"/>
    <w:rsid w:val="243F6C4A"/>
    <w:rsid w:val="244977E5"/>
    <w:rsid w:val="245E1D27"/>
    <w:rsid w:val="24940192"/>
    <w:rsid w:val="24AF68F5"/>
    <w:rsid w:val="24B506C7"/>
    <w:rsid w:val="24C42D52"/>
    <w:rsid w:val="24F56F32"/>
    <w:rsid w:val="25062852"/>
    <w:rsid w:val="2507189E"/>
    <w:rsid w:val="25176A87"/>
    <w:rsid w:val="25250F57"/>
    <w:rsid w:val="2536086B"/>
    <w:rsid w:val="253C64E8"/>
    <w:rsid w:val="255566F6"/>
    <w:rsid w:val="256569BE"/>
    <w:rsid w:val="258E03AA"/>
    <w:rsid w:val="258F15F5"/>
    <w:rsid w:val="25A965E4"/>
    <w:rsid w:val="25BB76BF"/>
    <w:rsid w:val="25C611D7"/>
    <w:rsid w:val="25D41C9D"/>
    <w:rsid w:val="260709E5"/>
    <w:rsid w:val="26092200"/>
    <w:rsid w:val="26242DD0"/>
    <w:rsid w:val="262B4CFD"/>
    <w:rsid w:val="26303437"/>
    <w:rsid w:val="26355D33"/>
    <w:rsid w:val="2636512A"/>
    <w:rsid w:val="264379C2"/>
    <w:rsid w:val="264513CD"/>
    <w:rsid w:val="26467408"/>
    <w:rsid w:val="2647540E"/>
    <w:rsid w:val="268705C2"/>
    <w:rsid w:val="2689322D"/>
    <w:rsid w:val="26CF38F4"/>
    <w:rsid w:val="26DE1B47"/>
    <w:rsid w:val="26EE1379"/>
    <w:rsid w:val="26F10619"/>
    <w:rsid w:val="26F4143F"/>
    <w:rsid w:val="2705581F"/>
    <w:rsid w:val="270F0CD1"/>
    <w:rsid w:val="2710778E"/>
    <w:rsid w:val="272F66A7"/>
    <w:rsid w:val="273B3040"/>
    <w:rsid w:val="273C3A65"/>
    <w:rsid w:val="273F3B27"/>
    <w:rsid w:val="275F24CA"/>
    <w:rsid w:val="276544C0"/>
    <w:rsid w:val="276B793B"/>
    <w:rsid w:val="277C75F4"/>
    <w:rsid w:val="279B44CD"/>
    <w:rsid w:val="27A715EA"/>
    <w:rsid w:val="27AF454A"/>
    <w:rsid w:val="27B1262E"/>
    <w:rsid w:val="27B3138A"/>
    <w:rsid w:val="27BD073B"/>
    <w:rsid w:val="27C12915"/>
    <w:rsid w:val="27C23381"/>
    <w:rsid w:val="27EE39EF"/>
    <w:rsid w:val="27F143B4"/>
    <w:rsid w:val="27F92584"/>
    <w:rsid w:val="282E547B"/>
    <w:rsid w:val="285661A2"/>
    <w:rsid w:val="28621E4C"/>
    <w:rsid w:val="286B6493"/>
    <w:rsid w:val="28784C02"/>
    <w:rsid w:val="28851911"/>
    <w:rsid w:val="2899213D"/>
    <w:rsid w:val="289C7B0E"/>
    <w:rsid w:val="28D15A45"/>
    <w:rsid w:val="28D336AD"/>
    <w:rsid w:val="290D6E95"/>
    <w:rsid w:val="291F295B"/>
    <w:rsid w:val="292106B5"/>
    <w:rsid w:val="29347FDE"/>
    <w:rsid w:val="293C6D6C"/>
    <w:rsid w:val="293D4396"/>
    <w:rsid w:val="293D5638"/>
    <w:rsid w:val="295B6DE6"/>
    <w:rsid w:val="297B2930"/>
    <w:rsid w:val="297C10FF"/>
    <w:rsid w:val="299062D3"/>
    <w:rsid w:val="299E2A2D"/>
    <w:rsid w:val="29A0718A"/>
    <w:rsid w:val="29E609A1"/>
    <w:rsid w:val="2A0A01D1"/>
    <w:rsid w:val="2A234950"/>
    <w:rsid w:val="2A362104"/>
    <w:rsid w:val="2A3F2B85"/>
    <w:rsid w:val="2A43523D"/>
    <w:rsid w:val="2A4442F8"/>
    <w:rsid w:val="2A5F724D"/>
    <w:rsid w:val="2A6E491D"/>
    <w:rsid w:val="2A734547"/>
    <w:rsid w:val="2A88007A"/>
    <w:rsid w:val="2A8D6848"/>
    <w:rsid w:val="2AA34898"/>
    <w:rsid w:val="2AA5514D"/>
    <w:rsid w:val="2AE7474D"/>
    <w:rsid w:val="2AF65F45"/>
    <w:rsid w:val="2B102FB5"/>
    <w:rsid w:val="2B320D83"/>
    <w:rsid w:val="2B513A1E"/>
    <w:rsid w:val="2B526084"/>
    <w:rsid w:val="2B5C5632"/>
    <w:rsid w:val="2B5D339E"/>
    <w:rsid w:val="2B6A36EF"/>
    <w:rsid w:val="2B8566E9"/>
    <w:rsid w:val="2BC34193"/>
    <w:rsid w:val="2BC77418"/>
    <w:rsid w:val="2BDF1E95"/>
    <w:rsid w:val="2BE86B56"/>
    <w:rsid w:val="2BEA4B93"/>
    <w:rsid w:val="2BF732D6"/>
    <w:rsid w:val="2C050403"/>
    <w:rsid w:val="2C054C51"/>
    <w:rsid w:val="2C305F0F"/>
    <w:rsid w:val="2C461632"/>
    <w:rsid w:val="2C544F16"/>
    <w:rsid w:val="2C571569"/>
    <w:rsid w:val="2C595DEC"/>
    <w:rsid w:val="2C634AF0"/>
    <w:rsid w:val="2C643929"/>
    <w:rsid w:val="2C663EF6"/>
    <w:rsid w:val="2C925C8C"/>
    <w:rsid w:val="2CA443D3"/>
    <w:rsid w:val="2CBD093F"/>
    <w:rsid w:val="2CD47A4C"/>
    <w:rsid w:val="2CE97FB6"/>
    <w:rsid w:val="2D2E01BE"/>
    <w:rsid w:val="2D3A4BC3"/>
    <w:rsid w:val="2D561B9B"/>
    <w:rsid w:val="2D601208"/>
    <w:rsid w:val="2D863930"/>
    <w:rsid w:val="2D9207F9"/>
    <w:rsid w:val="2D957D1A"/>
    <w:rsid w:val="2DBE4F46"/>
    <w:rsid w:val="2DD50F2C"/>
    <w:rsid w:val="2DD60E98"/>
    <w:rsid w:val="2DE32F5A"/>
    <w:rsid w:val="2DE610EC"/>
    <w:rsid w:val="2E0874A6"/>
    <w:rsid w:val="2E4253B7"/>
    <w:rsid w:val="2E42701D"/>
    <w:rsid w:val="2E5A67CB"/>
    <w:rsid w:val="2E812749"/>
    <w:rsid w:val="2E885970"/>
    <w:rsid w:val="2E9D4099"/>
    <w:rsid w:val="2EB03D2D"/>
    <w:rsid w:val="2EB91259"/>
    <w:rsid w:val="2EE44124"/>
    <w:rsid w:val="2EEC7F0B"/>
    <w:rsid w:val="2EED420A"/>
    <w:rsid w:val="2EF54A0D"/>
    <w:rsid w:val="2F01046F"/>
    <w:rsid w:val="2F501AF7"/>
    <w:rsid w:val="2F581377"/>
    <w:rsid w:val="2F5D6CDC"/>
    <w:rsid w:val="2F6E7E38"/>
    <w:rsid w:val="2F797671"/>
    <w:rsid w:val="2FA628B5"/>
    <w:rsid w:val="2FAC66C4"/>
    <w:rsid w:val="2FC10C7B"/>
    <w:rsid w:val="2FC653ED"/>
    <w:rsid w:val="30032224"/>
    <w:rsid w:val="30080716"/>
    <w:rsid w:val="302048A2"/>
    <w:rsid w:val="304677A4"/>
    <w:rsid w:val="304769A5"/>
    <w:rsid w:val="30486A45"/>
    <w:rsid w:val="30585B0D"/>
    <w:rsid w:val="305E71E2"/>
    <w:rsid w:val="308541C0"/>
    <w:rsid w:val="309C61E0"/>
    <w:rsid w:val="30D937A3"/>
    <w:rsid w:val="30DD5126"/>
    <w:rsid w:val="30E328D7"/>
    <w:rsid w:val="31002970"/>
    <w:rsid w:val="31061D98"/>
    <w:rsid w:val="311762AB"/>
    <w:rsid w:val="31247A37"/>
    <w:rsid w:val="313363EA"/>
    <w:rsid w:val="314A6C7C"/>
    <w:rsid w:val="31573970"/>
    <w:rsid w:val="31657EF3"/>
    <w:rsid w:val="31903B08"/>
    <w:rsid w:val="31927954"/>
    <w:rsid w:val="31941359"/>
    <w:rsid w:val="31A617E2"/>
    <w:rsid w:val="31BC7C6D"/>
    <w:rsid w:val="31BF6DFF"/>
    <w:rsid w:val="31DB769D"/>
    <w:rsid w:val="31E210CB"/>
    <w:rsid w:val="31EE05F4"/>
    <w:rsid w:val="31F356D3"/>
    <w:rsid w:val="31F600BD"/>
    <w:rsid w:val="321C46EF"/>
    <w:rsid w:val="321D52D9"/>
    <w:rsid w:val="323206B0"/>
    <w:rsid w:val="323B6E74"/>
    <w:rsid w:val="32535D9C"/>
    <w:rsid w:val="326833B6"/>
    <w:rsid w:val="32685E1B"/>
    <w:rsid w:val="327C3161"/>
    <w:rsid w:val="32A77828"/>
    <w:rsid w:val="32CC7E71"/>
    <w:rsid w:val="32E378CA"/>
    <w:rsid w:val="32F2611C"/>
    <w:rsid w:val="32F31EA6"/>
    <w:rsid w:val="3311483C"/>
    <w:rsid w:val="3316349B"/>
    <w:rsid w:val="337559BF"/>
    <w:rsid w:val="33802F1D"/>
    <w:rsid w:val="33957CCF"/>
    <w:rsid w:val="33D6601F"/>
    <w:rsid w:val="33E84F1C"/>
    <w:rsid w:val="33F62ED6"/>
    <w:rsid w:val="33FA103C"/>
    <w:rsid w:val="340567B3"/>
    <w:rsid w:val="340D03F4"/>
    <w:rsid w:val="3435322B"/>
    <w:rsid w:val="345C288A"/>
    <w:rsid w:val="34630E03"/>
    <w:rsid w:val="34844B24"/>
    <w:rsid w:val="348E0C53"/>
    <w:rsid w:val="348F514A"/>
    <w:rsid w:val="34BD0EF8"/>
    <w:rsid w:val="34CC3D89"/>
    <w:rsid w:val="34D11437"/>
    <w:rsid w:val="34D52798"/>
    <w:rsid w:val="350A0EC6"/>
    <w:rsid w:val="35146AF6"/>
    <w:rsid w:val="35324954"/>
    <w:rsid w:val="357E3975"/>
    <w:rsid w:val="35817744"/>
    <w:rsid w:val="35895362"/>
    <w:rsid w:val="35961C16"/>
    <w:rsid w:val="359E28C5"/>
    <w:rsid w:val="35B06812"/>
    <w:rsid w:val="35B62255"/>
    <w:rsid w:val="35B77A58"/>
    <w:rsid w:val="35CA610A"/>
    <w:rsid w:val="35D531A2"/>
    <w:rsid w:val="35D579E0"/>
    <w:rsid w:val="35D95EFE"/>
    <w:rsid w:val="35DE732D"/>
    <w:rsid w:val="35EE0393"/>
    <w:rsid w:val="35EF3F1C"/>
    <w:rsid w:val="3607115F"/>
    <w:rsid w:val="361F32D7"/>
    <w:rsid w:val="36465224"/>
    <w:rsid w:val="364E24FC"/>
    <w:rsid w:val="36584D63"/>
    <w:rsid w:val="366963C1"/>
    <w:rsid w:val="36707251"/>
    <w:rsid w:val="368E1796"/>
    <w:rsid w:val="368E5DBA"/>
    <w:rsid w:val="3699519F"/>
    <w:rsid w:val="36A86652"/>
    <w:rsid w:val="36AB582A"/>
    <w:rsid w:val="36AF6C5F"/>
    <w:rsid w:val="36C54E0B"/>
    <w:rsid w:val="36CA0E08"/>
    <w:rsid w:val="36CE765A"/>
    <w:rsid w:val="36DC2458"/>
    <w:rsid w:val="36E47B9D"/>
    <w:rsid w:val="36F05BAE"/>
    <w:rsid w:val="36F72B9C"/>
    <w:rsid w:val="370F0B8B"/>
    <w:rsid w:val="372D52D0"/>
    <w:rsid w:val="37366A91"/>
    <w:rsid w:val="373D5BFC"/>
    <w:rsid w:val="375760D8"/>
    <w:rsid w:val="37605958"/>
    <w:rsid w:val="379765A7"/>
    <w:rsid w:val="37A31232"/>
    <w:rsid w:val="37B17C56"/>
    <w:rsid w:val="37BD4734"/>
    <w:rsid w:val="37C83693"/>
    <w:rsid w:val="37DC5399"/>
    <w:rsid w:val="37DE4EAE"/>
    <w:rsid w:val="37F5128A"/>
    <w:rsid w:val="38027E69"/>
    <w:rsid w:val="381A118F"/>
    <w:rsid w:val="381D7468"/>
    <w:rsid w:val="38246E96"/>
    <w:rsid w:val="38247E95"/>
    <w:rsid w:val="38451379"/>
    <w:rsid w:val="38533189"/>
    <w:rsid w:val="385525F1"/>
    <w:rsid w:val="38707028"/>
    <w:rsid w:val="3890640C"/>
    <w:rsid w:val="38916C61"/>
    <w:rsid w:val="38AC7189"/>
    <w:rsid w:val="38BB5527"/>
    <w:rsid w:val="38CE1A44"/>
    <w:rsid w:val="38DC267D"/>
    <w:rsid w:val="390936A0"/>
    <w:rsid w:val="39295669"/>
    <w:rsid w:val="39417FC1"/>
    <w:rsid w:val="39640887"/>
    <w:rsid w:val="396425CF"/>
    <w:rsid w:val="396C52DB"/>
    <w:rsid w:val="397337FD"/>
    <w:rsid w:val="39907A37"/>
    <w:rsid w:val="39A073B6"/>
    <w:rsid w:val="39AF6E94"/>
    <w:rsid w:val="39BA4B6F"/>
    <w:rsid w:val="39C10E6C"/>
    <w:rsid w:val="39C6642D"/>
    <w:rsid w:val="39D236E8"/>
    <w:rsid w:val="39D62F96"/>
    <w:rsid w:val="39DD3518"/>
    <w:rsid w:val="3A1029EB"/>
    <w:rsid w:val="3A230C42"/>
    <w:rsid w:val="3A332879"/>
    <w:rsid w:val="3A397355"/>
    <w:rsid w:val="3A3A7D8E"/>
    <w:rsid w:val="3A435FF8"/>
    <w:rsid w:val="3A6931B5"/>
    <w:rsid w:val="3A831093"/>
    <w:rsid w:val="3A860EA9"/>
    <w:rsid w:val="3AAE4F51"/>
    <w:rsid w:val="3AB27ADC"/>
    <w:rsid w:val="3AC0768C"/>
    <w:rsid w:val="3AD80FEC"/>
    <w:rsid w:val="3AFE7D75"/>
    <w:rsid w:val="3B0A7799"/>
    <w:rsid w:val="3B182D25"/>
    <w:rsid w:val="3B356EF6"/>
    <w:rsid w:val="3B387B37"/>
    <w:rsid w:val="3B3B4A8B"/>
    <w:rsid w:val="3B410447"/>
    <w:rsid w:val="3B4D420E"/>
    <w:rsid w:val="3B606A6C"/>
    <w:rsid w:val="3B611DA1"/>
    <w:rsid w:val="3B667167"/>
    <w:rsid w:val="3B6D6D82"/>
    <w:rsid w:val="3B702D0A"/>
    <w:rsid w:val="3B8D2587"/>
    <w:rsid w:val="3B8E4CC3"/>
    <w:rsid w:val="3B912C40"/>
    <w:rsid w:val="3BA257D0"/>
    <w:rsid w:val="3C306831"/>
    <w:rsid w:val="3C420483"/>
    <w:rsid w:val="3C4428CC"/>
    <w:rsid w:val="3C444374"/>
    <w:rsid w:val="3C4F1255"/>
    <w:rsid w:val="3C515887"/>
    <w:rsid w:val="3C595051"/>
    <w:rsid w:val="3C625F7B"/>
    <w:rsid w:val="3C682428"/>
    <w:rsid w:val="3C7C3A87"/>
    <w:rsid w:val="3C7C6D5F"/>
    <w:rsid w:val="3C991147"/>
    <w:rsid w:val="3CA803BE"/>
    <w:rsid w:val="3CAE4D08"/>
    <w:rsid w:val="3CBC0178"/>
    <w:rsid w:val="3CC10127"/>
    <w:rsid w:val="3CC94A4B"/>
    <w:rsid w:val="3CDF2F46"/>
    <w:rsid w:val="3CE80639"/>
    <w:rsid w:val="3D1D3A59"/>
    <w:rsid w:val="3D1D4C5C"/>
    <w:rsid w:val="3D2441C3"/>
    <w:rsid w:val="3D4643AE"/>
    <w:rsid w:val="3D522E84"/>
    <w:rsid w:val="3D5B70D0"/>
    <w:rsid w:val="3D5C06CA"/>
    <w:rsid w:val="3D60340F"/>
    <w:rsid w:val="3D604355"/>
    <w:rsid w:val="3D7B7060"/>
    <w:rsid w:val="3DA365E4"/>
    <w:rsid w:val="3DCD2FF3"/>
    <w:rsid w:val="3DDC3773"/>
    <w:rsid w:val="3DF619B3"/>
    <w:rsid w:val="3E015AEE"/>
    <w:rsid w:val="3E0272CF"/>
    <w:rsid w:val="3E217587"/>
    <w:rsid w:val="3E4905A1"/>
    <w:rsid w:val="3E4A6BA6"/>
    <w:rsid w:val="3E645DA3"/>
    <w:rsid w:val="3E6D47FC"/>
    <w:rsid w:val="3E8713A7"/>
    <w:rsid w:val="3ED26F30"/>
    <w:rsid w:val="3EF07FAA"/>
    <w:rsid w:val="3F086630"/>
    <w:rsid w:val="3F14149E"/>
    <w:rsid w:val="3F40461F"/>
    <w:rsid w:val="3F423179"/>
    <w:rsid w:val="3F5A0652"/>
    <w:rsid w:val="3F7409C4"/>
    <w:rsid w:val="3F753550"/>
    <w:rsid w:val="3F79327C"/>
    <w:rsid w:val="3F98138B"/>
    <w:rsid w:val="3F987527"/>
    <w:rsid w:val="3F9C314C"/>
    <w:rsid w:val="3FA061B9"/>
    <w:rsid w:val="3FAB1528"/>
    <w:rsid w:val="3FAE21A9"/>
    <w:rsid w:val="3FD34217"/>
    <w:rsid w:val="3FF04CA1"/>
    <w:rsid w:val="3FF87DCB"/>
    <w:rsid w:val="40154BDB"/>
    <w:rsid w:val="401B0B4A"/>
    <w:rsid w:val="40215161"/>
    <w:rsid w:val="404C06A4"/>
    <w:rsid w:val="404C62D3"/>
    <w:rsid w:val="40571069"/>
    <w:rsid w:val="408F1FDB"/>
    <w:rsid w:val="40A3256C"/>
    <w:rsid w:val="40C46363"/>
    <w:rsid w:val="40D13AAD"/>
    <w:rsid w:val="40D5671E"/>
    <w:rsid w:val="40E973FD"/>
    <w:rsid w:val="40EF1DD6"/>
    <w:rsid w:val="40FB0B45"/>
    <w:rsid w:val="410866A4"/>
    <w:rsid w:val="41136CD0"/>
    <w:rsid w:val="411E5C3E"/>
    <w:rsid w:val="41523BBA"/>
    <w:rsid w:val="41824B91"/>
    <w:rsid w:val="418A23E7"/>
    <w:rsid w:val="41C639F2"/>
    <w:rsid w:val="41C7225D"/>
    <w:rsid w:val="41DA506E"/>
    <w:rsid w:val="41E00DC3"/>
    <w:rsid w:val="420810FF"/>
    <w:rsid w:val="42161379"/>
    <w:rsid w:val="422B3173"/>
    <w:rsid w:val="422E29FC"/>
    <w:rsid w:val="4236239B"/>
    <w:rsid w:val="424362B7"/>
    <w:rsid w:val="424C46F3"/>
    <w:rsid w:val="425A1D85"/>
    <w:rsid w:val="425F5CFD"/>
    <w:rsid w:val="427F5EC1"/>
    <w:rsid w:val="428B67D2"/>
    <w:rsid w:val="429A5306"/>
    <w:rsid w:val="42A07843"/>
    <w:rsid w:val="42A558CC"/>
    <w:rsid w:val="42BE3C54"/>
    <w:rsid w:val="42C80376"/>
    <w:rsid w:val="42DA1E8F"/>
    <w:rsid w:val="42ED3269"/>
    <w:rsid w:val="42F9198D"/>
    <w:rsid w:val="42FF7651"/>
    <w:rsid w:val="43054A1A"/>
    <w:rsid w:val="431B31A5"/>
    <w:rsid w:val="43435401"/>
    <w:rsid w:val="43493E11"/>
    <w:rsid w:val="435F4767"/>
    <w:rsid w:val="43A20FC8"/>
    <w:rsid w:val="43B23D1C"/>
    <w:rsid w:val="43B55136"/>
    <w:rsid w:val="43BD4FD6"/>
    <w:rsid w:val="44280D77"/>
    <w:rsid w:val="444C654A"/>
    <w:rsid w:val="444E1373"/>
    <w:rsid w:val="44521A19"/>
    <w:rsid w:val="447A4FB3"/>
    <w:rsid w:val="44825BE7"/>
    <w:rsid w:val="448C1D82"/>
    <w:rsid w:val="44B8218C"/>
    <w:rsid w:val="44C46737"/>
    <w:rsid w:val="44C9455B"/>
    <w:rsid w:val="44D264B4"/>
    <w:rsid w:val="44D779BA"/>
    <w:rsid w:val="44DA22AC"/>
    <w:rsid w:val="44E0316E"/>
    <w:rsid w:val="44E93C84"/>
    <w:rsid w:val="44F27637"/>
    <w:rsid w:val="45020430"/>
    <w:rsid w:val="450C43DA"/>
    <w:rsid w:val="451457FB"/>
    <w:rsid w:val="452E518F"/>
    <w:rsid w:val="45471539"/>
    <w:rsid w:val="45603434"/>
    <w:rsid w:val="457F7A32"/>
    <w:rsid w:val="45800355"/>
    <w:rsid w:val="45827C46"/>
    <w:rsid w:val="45980EC3"/>
    <w:rsid w:val="45A602D1"/>
    <w:rsid w:val="45C76B8B"/>
    <w:rsid w:val="45EE7995"/>
    <w:rsid w:val="45F2294E"/>
    <w:rsid w:val="45FB5315"/>
    <w:rsid w:val="46036517"/>
    <w:rsid w:val="46226391"/>
    <w:rsid w:val="46503AC5"/>
    <w:rsid w:val="46515E7D"/>
    <w:rsid w:val="465E3302"/>
    <w:rsid w:val="4662200D"/>
    <w:rsid w:val="46642942"/>
    <w:rsid w:val="46717CBB"/>
    <w:rsid w:val="467B0413"/>
    <w:rsid w:val="46852255"/>
    <w:rsid w:val="46A240EA"/>
    <w:rsid w:val="46B32ADB"/>
    <w:rsid w:val="46B84210"/>
    <w:rsid w:val="46BD4052"/>
    <w:rsid w:val="46C86AD4"/>
    <w:rsid w:val="46C93927"/>
    <w:rsid w:val="46EB49B7"/>
    <w:rsid w:val="470879F5"/>
    <w:rsid w:val="470B658B"/>
    <w:rsid w:val="471D1D43"/>
    <w:rsid w:val="471D61CE"/>
    <w:rsid w:val="471F2E40"/>
    <w:rsid w:val="473E5E4D"/>
    <w:rsid w:val="476F66C2"/>
    <w:rsid w:val="4775193D"/>
    <w:rsid w:val="47CA7029"/>
    <w:rsid w:val="47D450AB"/>
    <w:rsid w:val="47E95907"/>
    <w:rsid w:val="47F535A7"/>
    <w:rsid w:val="48253936"/>
    <w:rsid w:val="48452C5F"/>
    <w:rsid w:val="4870209B"/>
    <w:rsid w:val="48740317"/>
    <w:rsid w:val="4888168E"/>
    <w:rsid w:val="48991407"/>
    <w:rsid w:val="48AD6E00"/>
    <w:rsid w:val="48C735F2"/>
    <w:rsid w:val="48D447C5"/>
    <w:rsid w:val="48E0470A"/>
    <w:rsid w:val="492D7395"/>
    <w:rsid w:val="49313407"/>
    <w:rsid w:val="494418DF"/>
    <w:rsid w:val="49582224"/>
    <w:rsid w:val="4968630E"/>
    <w:rsid w:val="496A4344"/>
    <w:rsid w:val="49897E55"/>
    <w:rsid w:val="498B1296"/>
    <w:rsid w:val="499955A0"/>
    <w:rsid w:val="499D3A8A"/>
    <w:rsid w:val="49BF1503"/>
    <w:rsid w:val="49EB4886"/>
    <w:rsid w:val="4A031C97"/>
    <w:rsid w:val="4A2A0817"/>
    <w:rsid w:val="4A337355"/>
    <w:rsid w:val="4A472C6B"/>
    <w:rsid w:val="4A612852"/>
    <w:rsid w:val="4A6E0F8D"/>
    <w:rsid w:val="4A8E71D8"/>
    <w:rsid w:val="4A8F1C25"/>
    <w:rsid w:val="4AB56BD4"/>
    <w:rsid w:val="4ADC111D"/>
    <w:rsid w:val="4AE178D7"/>
    <w:rsid w:val="4B1E4B4A"/>
    <w:rsid w:val="4B2A1C40"/>
    <w:rsid w:val="4B3F2B00"/>
    <w:rsid w:val="4B431A44"/>
    <w:rsid w:val="4B441B41"/>
    <w:rsid w:val="4B473790"/>
    <w:rsid w:val="4B526F05"/>
    <w:rsid w:val="4B5566F3"/>
    <w:rsid w:val="4B8432B3"/>
    <w:rsid w:val="4B8964BC"/>
    <w:rsid w:val="4B9D1312"/>
    <w:rsid w:val="4BA33085"/>
    <w:rsid w:val="4BA86A0E"/>
    <w:rsid w:val="4BDF5249"/>
    <w:rsid w:val="4BE76512"/>
    <w:rsid w:val="4BEA3637"/>
    <w:rsid w:val="4C046B55"/>
    <w:rsid w:val="4C105593"/>
    <w:rsid w:val="4C17265F"/>
    <w:rsid w:val="4C204780"/>
    <w:rsid w:val="4C253244"/>
    <w:rsid w:val="4C2C1CBE"/>
    <w:rsid w:val="4C330031"/>
    <w:rsid w:val="4C43492C"/>
    <w:rsid w:val="4C447E23"/>
    <w:rsid w:val="4C6C1268"/>
    <w:rsid w:val="4C6C308B"/>
    <w:rsid w:val="4C787385"/>
    <w:rsid w:val="4C8E3A44"/>
    <w:rsid w:val="4C9A533B"/>
    <w:rsid w:val="4CB71FD1"/>
    <w:rsid w:val="4CBC0634"/>
    <w:rsid w:val="4CD14454"/>
    <w:rsid w:val="4CE812A0"/>
    <w:rsid w:val="4CEC5D24"/>
    <w:rsid w:val="4D1B2A1B"/>
    <w:rsid w:val="4D1E28AA"/>
    <w:rsid w:val="4D297203"/>
    <w:rsid w:val="4D723ECA"/>
    <w:rsid w:val="4D9C2BBF"/>
    <w:rsid w:val="4DA97B20"/>
    <w:rsid w:val="4DBD0A45"/>
    <w:rsid w:val="4DC8302C"/>
    <w:rsid w:val="4DCE5FE1"/>
    <w:rsid w:val="4DF542F3"/>
    <w:rsid w:val="4E1C27CE"/>
    <w:rsid w:val="4E3533B2"/>
    <w:rsid w:val="4E471CC4"/>
    <w:rsid w:val="4E4C196F"/>
    <w:rsid w:val="4E592FB3"/>
    <w:rsid w:val="4E6E5D50"/>
    <w:rsid w:val="4EA303CB"/>
    <w:rsid w:val="4EA47819"/>
    <w:rsid w:val="4ECB68D5"/>
    <w:rsid w:val="4ECE1A58"/>
    <w:rsid w:val="4EF31438"/>
    <w:rsid w:val="4F186EA6"/>
    <w:rsid w:val="4F356E6E"/>
    <w:rsid w:val="4F3D39A6"/>
    <w:rsid w:val="4F542862"/>
    <w:rsid w:val="4F676C5C"/>
    <w:rsid w:val="4F732251"/>
    <w:rsid w:val="4F9165DF"/>
    <w:rsid w:val="4F9E10A2"/>
    <w:rsid w:val="4FA63569"/>
    <w:rsid w:val="4FAB103D"/>
    <w:rsid w:val="4FBE121E"/>
    <w:rsid w:val="4FC11A85"/>
    <w:rsid w:val="4FD05B9A"/>
    <w:rsid w:val="4FFF6AF6"/>
    <w:rsid w:val="5004273E"/>
    <w:rsid w:val="500E4BA7"/>
    <w:rsid w:val="50121BBE"/>
    <w:rsid w:val="501F267E"/>
    <w:rsid w:val="50414599"/>
    <w:rsid w:val="50537CB5"/>
    <w:rsid w:val="50693851"/>
    <w:rsid w:val="507337CE"/>
    <w:rsid w:val="50755F38"/>
    <w:rsid w:val="50756B84"/>
    <w:rsid w:val="508F1BE4"/>
    <w:rsid w:val="509E4F83"/>
    <w:rsid w:val="50C730CB"/>
    <w:rsid w:val="50CE6470"/>
    <w:rsid w:val="50DC4599"/>
    <w:rsid w:val="50EE68AA"/>
    <w:rsid w:val="51001140"/>
    <w:rsid w:val="510B0632"/>
    <w:rsid w:val="510C126D"/>
    <w:rsid w:val="512E60BF"/>
    <w:rsid w:val="513C0363"/>
    <w:rsid w:val="51402CDD"/>
    <w:rsid w:val="51552B69"/>
    <w:rsid w:val="515737ED"/>
    <w:rsid w:val="516C7C98"/>
    <w:rsid w:val="51742D65"/>
    <w:rsid w:val="51914ADE"/>
    <w:rsid w:val="51C8526A"/>
    <w:rsid w:val="51D174B1"/>
    <w:rsid w:val="51D62E7D"/>
    <w:rsid w:val="51DA3DA3"/>
    <w:rsid w:val="51E55D6B"/>
    <w:rsid w:val="51F40559"/>
    <w:rsid w:val="521440A4"/>
    <w:rsid w:val="522B60FD"/>
    <w:rsid w:val="522C38EF"/>
    <w:rsid w:val="52487F19"/>
    <w:rsid w:val="524B2B35"/>
    <w:rsid w:val="5263418E"/>
    <w:rsid w:val="52692852"/>
    <w:rsid w:val="52781998"/>
    <w:rsid w:val="528717B5"/>
    <w:rsid w:val="52967177"/>
    <w:rsid w:val="52A66D10"/>
    <w:rsid w:val="52AD1F2C"/>
    <w:rsid w:val="52B513BE"/>
    <w:rsid w:val="52B82839"/>
    <w:rsid w:val="52C56F9E"/>
    <w:rsid w:val="52CA1BB3"/>
    <w:rsid w:val="52FD1E3D"/>
    <w:rsid w:val="5304256F"/>
    <w:rsid w:val="53196F17"/>
    <w:rsid w:val="531D2D44"/>
    <w:rsid w:val="53211D72"/>
    <w:rsid w:val="53344B5C"/>
    <w:rsid w:val="533F5F6C"/>
    <w:rsid w:val="533F7649"/>
    <w:rsid w:val="53571058"/>
    <w:rsid w:val="535C3134"/>
    <w:rsid w:val="5378399B"/>
    <w:rsid w:val="53870EAE"/>
    <w:rsid w:val="53994EB3"/>
    <w:rsid w:val="53C51284"/>
    <w:rsid w:val="53D12FEF"/>
    <w:rsid w:val="53D96475"/>
    <w:rsid w:val="53DF358C"/>
    <w:rsid w:val="5401794A"/>
    <w:rsid w:val="5403552B"/>
    <w:rsid w:val="54062CA5"/>
    <w:rsid w:val="540849A3"/>
    <w:rsid w:val="541962DC"/>
    <w:rsid w:val="543C3DD0"/>
    <w:rsid w:val="54457B00"/>
    <w:rsid w:val="544C09A4"/>
    <w:rsid w:val="5453790A"/>
    <w:rsid w:val="54587111"/>
    <w:rsid w:val="54727C92"/>
    <w:rsid w:val="5474674A"/>
    <w:rsid w:val="54AD0082"/>
    <w:rsid w:val="54B204FD"/>
    <w:rsid w:val="54BF2E2B"/>
    <w:rsid w:val="54BF39DA"/>
    <w:rsid w:val="54C67D59"/>
    <w:rsid w:val="54DD4AFB"/>
    <w:rsid w:val="54DD7360"/>
    <w:rsid w:val="54E66BCA"/>
    <w:rsid w:val="54E95C7E"/>
    <w:rsid w:val="54FF6843"/>
    <w:rsid w:val="552D0EE1"/>
    <w:rsid w:val="55300115"/>
    <w:rsid w:val="555074F1"/>
    <w:rsid w:val="555F75B0"/>
    <w:rsid w:val="556A5611"/>
    <w:rsid w:val="556E54B0"/>
    <w:rsid w:val="557E18C6"/>
    <w:rsid w:val="55947B31"/>
    <w:rsid w:val="55A52066"/>
    <w:rsid w:val="55AF1D0B"/>
    <w:rsid w:val="55B232F1"/>
    <w:rsid w:val="55C0240F"/>
    <w:rsid w:val="55CA701F"/>
    <w:rsid w:val="55D10029"/>
    <w:rsid w:val="55E850CB"/>
    <w:rsid w:val="560C76FB"/>
    <w:rsid w:val="56133180"/>
    <w:rsid w:val="56215563"/>
    <w:rsid w:val="565C63B3"/>
    <w:rsid w:val="566032E5"/>
    <w:rsid w:val="56707EE0"/>
    <w:rsid w:val="569D6A58"/>
    <w:rsid w:val="56A62938"/>
    <w:rsid w:val="56B64F81"/>
    <w:rsid w:val="56B86908"/>
    <w:rsid w:val="56DC5010"/>
    <w:rsid w:val="56FF195F"/>
    <w:rsid w:val="57026F4E"/>
    <w:rsid w:val="573273F0"/>
    <w:rsid w:val="573C4FE9"/>
    <w:rsid w:val="573F3A30"/>
    <w:rsid w:val="57437D8F"/>
    <w:rsid w:val="574A1DC1"/>
    <w:rsid w:val="579018A9"/>
    <w:rsid w:val="57B5052E"/>
    <w:rsid w:val="57C605D8"/>
    <w:rsid w:val="57C71450"/>
    <w:rsid w:val="57D65228"/>
    <w:rsid w:val="57EB50EE"/>
    <w:rsid w:val="580C7901"/>
    <w:rsid w:val="58143F8B"/>
    <w:rsid w:val="5816652F"/>
    <w:rsid w:val="58255EBC"/>
    <w:rsid w:val="582A74D8"/>
    <w:rsid w:val="582B2BEB"/>
    <w:rsid w:val="583752E4"/>
    <w:rsid w:val="583B5D79"/>
    <w:rsid w:val="58B23FB9"/>
    <w:rsid w:val="58BE721C"/>
    <w:rsid w:val="58D27284"/>
    <w:rsid w:val="58D73397"/>
    <w:rsid w:val="58D80553"/>
    <w:rsid w:val="58F44BB7"/>
    <w:rsid w:val="590F4B2C"/>
    <w:rsid w:val="591A3BD8"/>
    <w:rsid w:val="591B2AC3"/>
    <w:rsid w:val="5929089A"/>
    <w:rsid w:val="592F62B9"/>
    <w:rsid w:val="596012BE"/>
    <w:rsid w:val="5976568E"/>
    <w:rsid w:val="597E70D4"/>
    <w:rsid w:val="59B00A21"/>
    <w:rsid w:val="59BE0931"/>
    <w:rsid w:val="59D72FB9"/>
    <w:rsid w:val="5A112235"/>
    <w:rsid w:val="5A181578"/>
    <w:rsid w:val="5A3544E2"/>
    <w:rsid w:val="5A383A01"/>
    <w:rsid w:val="5A597756"/>
    <w:rsid w:val="5A7132B4"/>
    <w:rsid w:val="5A7A2512"/>
    <w:rsid w:val="5A81156A"/>
    <w:rsid w:val="5A821E11"/>
    <w:rsid w:val="5ABE6847"/>
    <w:rsid w:val="5AD62570"/>
    <w:rsid w:val="5AD64FBB"/>
    <w:rsid w:val="5B123849"/>
    <w:rsid w:val="5B3C18ED"/>
    <w:rsid w:val="5B586042"/>
    <w:rsid w:val="5B664FEC"/>
    <w:rsid w:val="5B6B7582"/>
    <w:rsid w:val="5B846E86"/>
    <w:rsid w:val="5B8F35CE"/>
    <w:rsid w:val="5B9D4D78"/>
    <w:rsid w:val="5BC15AC5"/>
    <w:rsid w:val="5BE05FF4"/>
    <w:rsid w:val="5BF53710"/>
    <w:rsid w:val="5C08720C"/>
    <w:rsid w:val="5C0B54EE"/>
    <w:rsid w:val="5C0C370B"/>
    <w:rsid w:val="5C1156A9"/>
    <w:rsid w:val="5C356C8B"/>
    <w:rsid w:val="5C534247"/>
    <w:rsid w:val="5C58393E"/>
    <w:rsid w:val="5C5A112F"/>
    <w:rsid w:val="5C6E2C6D"/>
    <w:rsid w:val="5C7C237D"/>
    <w:rsid w:val="5C980A4B"/>
    <w:rsid w:val="5C9E4AD9"/>
    <w:rsid w:val="5CA61276"/>
    <w:rsid w:val="5CAA7D14"/>
    <w:rsid w:val="5CBD4DC8"/>
    <w:rsid w:val="5CC404B9"/>
    <w:rsid w:val="5CCA6E37"/>
    <w:rsid w:val="5CDE34CD"/>
    <w:rsid w:val="5CF8455E"/>
    <w:rsid w:val="5D1C0258"/>
    <w:rsid w:val="5D371C90"/>
    <w:rsid w:val="5D6D6B38"/>
    <w:rsid w:val="5D6F18F0"/>
    <w:rsid w:val="5D8F5D8E"/>
    <w:rsid w:val="5D97686B"/>
    <w:rsid w:val="5DC51313"/>
    <w:rsid w:val="5DCD1C78"/>
    <w:rsid w:val="5DD8162A"/>
    <w:rsid w:val="5DF43EA7"/>
    <w:rsid w:val="5DFB291D"/>
    <w:rsid w:val="5E073186"/>
    <w:rsid w:val="5E134A8A"/>
    <w:rsid w:val="5E164BC9"/>
    <w:rsid w:val="5E1753F6"/>
    <w:rsid w:val="5E1C049E"/>
    <w:rsid w:val="5E4F0F9F"/>
    <w:rsid w:val="5E517D25"/>
    <w:rsid w:val="5E55347F"/>
    <w:rsid w:val="5E570978"/>
    <w:rsid w:val="5E7B52D0"/>
    <w:rsid w:val="5E925E3A"/>
    <w:rsid w:val="5EA73749"/>
    <w:rsid w:val="5EB053B0"/>
    <w:rsid w:val="5EC62675"/>
    <w:rsid w:val="5EC76E44"/>
    <w:rsid w:val="5EF03F1E"/>
    <w:rsid w:val="5F01496B"/>
    <w:rsid w:val="5F212CA2"/>
    <w:rsid w:val="5F2D18F4"/>
    <w:rsid w:val="5F3B0FFC"/>
    <w:rsid w:val="5F4A1086"/>
    <w:rsid w:val="5F4C4E03"/>
    <w:rsid w:val="5F5733EF"/>
    <w:rsid w:val="5F62370B"/>
    <w:rsid w:val="5F671813"/>
    <w:rsid w:val="5F740DD3"/>
    <w:rsid w:val="5F773E4B"/>
    <w:rsid w:val="5F7D03D0"/>
    <w:rsid w:val="5F8D6292"/>
    <w:rsid w:val="5F9A2297"/>
    <w:rsid w:val="5FC2738C"/>
    <w:rsid w:val="5FD711FD"/>
    <w:rsid w:val="5FF238E1"/>
    <w:rsid w:val="5FF42262"/>
    <w:rsid w:val="603647EC"/>
    <w:rsid w:val="60466A91"/>
    <w:rsid w:val="60615749"/>
    <w:rsid w:val="606C4D84"/>
    <w:rsid w:val="608C7051"/>
    <w:rsid w:val="608F65AD"/>
    <w:rsid w:val="60AF264E"/>
    <w:rsid w:val="60C4022B"/>
    <w:rsid w:val="60D26C74"/>
    <w:rsid w:val="60D42114"/>
    <w:rsid w:val="60FF4F40"/>
    <w:rsid w:val="611D0AE5"/>
    <w:rsid w:val="61204966"/>
    <w:rsid w:val="613762AE"/>
    <w:rsid w:val="614F27D6"/>
    <w:rsid w:val="61510CA0"/>
    <w:rsid w:val="616365FC"/>
    <w:rsid w:val="61822812"/>
    <w:rsid w:val="61832A76"/>
    <w:rsid w:val="61865971"/>
    <w:rsid w:val="618E6383"/>
    <w:rsid w:val="619571C3"/>
    <w:rsid w:val="61E04686"/>
    <w:rsid w:val="61E155AD"/>
    <w:rsid w:val="61F248D2"/>
    <w:rsid w:val="6213552F"/>
    <w:rsid w:val="62163646"/>
    <w:rsid w:val="62525C13"/>
    <w:rsid w:val="62525C71"/>
    <w:rsid w:val="625911EA"/>
    <w:rsid w:val="625977B7"/>
    <w:rsid w:val="627247FC"/>
    <w:rsid w:val="62A61804"/>
    <w:rsid w:val="62B70BE3"/>
    <w:rsid w:val="630E285C"/>
    <w:rsid w:val="63151C13"/>
    <w:rsid w:val="63302E08"/>
    <w:rsid w:val="633565CF"/>
    <w:rsid w:val="63646599"/>
    <w:rsid w:val="636813A7"/>
    <w:rsid w:val="636E3E5B"/>
    <w:rsid w:val="639449F2"/>
    <w:rsid w:val="639A061A"/>
    <w:rsid w:val="639C72CB"/>
    <w:rsid w:val="639D45D6"/>
    <w:rsid w:val="63A34D4B"/>
    <w:rsid w:val="63A729E9"/>
    <w:rsid w:val="63A820E7"/>
    <w:rsid w:val="6423770C"/>
    <w:rsid w:val="642B68DC"/>
    <w:rsid w:val="64304DA4"/>
    <w:rsid w:val="6432440F"/>
    <w:rsid w:val="643B7525"/>
    <w:rsid w:val="64690583"/>
    <w:rsid w:val="648F15EC"/>
    <w:rsid w:val="64935793"/>
    <w:rsid w:val="649E1C5D"/>
    <w:rsid w:val="64A5552C"/>
    <w:rsid w:val="64A677DE"/>
    <w:rsid w:val="64A8488D"/>
    <w:rsid w:val="64BF134B"/>
    <w:rsid w:val="64D709EC"/>
    <w:rsid w:val="64EF19DB"/>
    <w:rsid w:val="65056DE5"/>
    <w:rsid w:val="65195973"/>
    <w:rsid w:val="65221E93"/>
    <w:rsid w:val="65442A8D"/>
    <w:rsid w:val="65626D86"/>
    <w:rsid w:val="656E55D3"/>
    <w:rsid w:val="659200B7"/>
    <w:rsid w:val="659E3545"/>
    <w:rsid w:val="65A65C1E"/>
    <w:rsid w:val="65C25154"/>
    <w:rsid w:val="65C470E0"/>
    <w:rsid w:val="65DC5D6B"/>
    <w:rsid w:val="65F64872"/>
    <w:rsid w:val="65FB1726"/>
    <w:rsid w:val="660A4ABC"/>
    <w:rsid w:val="660C2A0E"/>
    <w:rsid w:val="6699753A"/>
    <w:rsid w:val="66AD1184"/>
    <w:rsid w:val="66BA6453"/>
    <w:rsid w:val="66DA549F"/>
    <w:rsid w:val="66F14FB8"/>
    <w:rsid w:val="66F1715F"/>
    <w:rsid w:val="671068BE"/>
    <w:rsid w:val="67233357"/>
    <w:rsid w:val="672557A8"/>
    <w:rsid w:val="67295232"/>
    <w:rsid w:val="673C6346"/>
    <w:rsid w:val="67495DB9"/>
    <w:rsid w:val="67724F75"/>
    <w:rsid w:val="67AF00A6"/>
    <w:rsid w:val="67B12E61"/>
    <w:rsid w:val="67BA33FC"/>
    <w:rsid w:val="67ED694D"/>
    <w:rsid w:val="67EE6EF8"/>
    <w:rsid w:val="68033FE1"/>
    <w:rsid w:val="681364CD"/>
    <w:rsid w:val="68401D3D"/>
    <w:rsid w:val="68503170"/>
    <w:rsid w:val="686B6B5C"/>
    <w:rsid w:val="688510DF"/>
    <w:rsid w:val="68855564"/>
    <w:rsid w:val="68867E07"/>
    <w:rsid w:val="68892CD4"/>
    <w:rsid w:val="68AB7B31"/>
    <w:rsid w:val="68C04784"/>
    <w:rsid w:val="68C4439B"/>
    <w:rsid w:val="68D77510"/>
    <w:rsid w:val="68E10664"/>
    <w:rsid w:val="68F97A48"/>
    <w:rsid w:val="690D5E86"/>
    <w:rsid w:val="69263203"/>
    <w:rsid w:val="692A7DC8"/>
    <w:rsid w:val="694077D5"/>
    <w:rsid w:val="69623EB1"/>
    <w:rsid w:val="6966581C"/>
    <w:rsid w:val="696840C5"/>
    <w:rsid w:val="697A6D19"/>
    <w:rsid w:val="698A7C12"/>
    <w:rsid w:val="69E133F9"/>
    <w:rsid w:val="6A021E9F"/>
    <w:rsid w:val="6A0E0124"/>
    <w:rsid w:val="6A266A0F"/>
    <w:rsid w:val="6A3178CD"/>
    <w:rsid w:val="6A504820"/>
    <w:rsid w:val="6A7E64F6"/>
    <w:rsid w:val="6A8A30E2"/>
    <w:rsid w:val="6A8C12C1"/>
    <w:rsid w:val="6A9D78FE"/>
    <w:rsid w:val="6AA353BB"/>
    <w:rsid w:val="6AA81392"/>
    <w:rsid w:val="6AAE4FAA"/>
    <w:rsid w:val="6ABA61BB"/>
    <w:rsid w:val="6ABE334D"/>
    <w:rsid w:val="6ADA6E56"/>
    <w:rsid w:val="6ADD50AE"/>
    <w:rsid w:val="6ADE224F"/>
    <w:rsid w:val="6B034505"/>
    <w:rsid w:val="6B102F0D"/>
    <w:rsid w:val="6B157742"/>
    <w:rsid w:val="6B2E26C5"/>
    <w:rsid w:val="6B342267"/>
    <w:rsid w:val="6B3F23AF"/>
    <w:rsid w:val="6B5F3DBC"/>
    <w:rsid w:val="6B68494C"/>
    <w:rsid w:val="6B750902"/>
    <w:rsid w:val="6B7C4008"/>
    <w:rsid w:val="6BA25BCB"/>
    <w:rsid w:val="6BAD0F9F"/>
    <w:rsid w:val="6BB069A1"/>
    <w:rsid w:val="6BB9504A"/>
    <w:rsid w:val="6BBB0A8E"/>
    <w:rsid w:val="6BC16C4E"/>
    <w:rsid w:val="6BC47F9A"/>
    <w:rsid w:val="6BC5520B"/>
    <w:rsid w:val="6BCE4782"/>
    <w:rsid w:val="6C0C6E73"/>
    <w:rsid w:val="6C0E0905"/>
    <w:rsid w:val="6C1C1BB7"/>
    <w:rsid w:val="6C492809"/>
    <w:rsid w:val="6C540010"/>
    <w:rsid w:val="6C5C777E"/>
    <w:rsid w:val="6C6B4058"/>
    <w:rsid w:val="6C6D0DD6"/>
    <w:rsid w:val="6C7711BA"/>
    <w:rsid w:val="6C9205D9"/>
    <w:rsid w:val="6CA62094"/>
    <w:rsid w:val="6CBD79E6"/>
    <w:rsid w:val="6CC17CE1"/>
    <w:rsid w:val="6CFA1CDB"/>
    <w:rsid w:val="6D1C4202"/>
    <w:rsid w:val="6D211EDD"/>
    <w:rsid w:val="6D215878"/>
    <w:rsid w:val="6D216741"/>
    <w:rsid w:val="6D325609"/>
    <w:rsid w:val="6D3D0AE8"/>
    <w:rsid w:val="6D400349"/>
    <w:rsid w:val="6D7E72DC"/>
    <w:rsid w:val="6D8049B5"/>
    <w:rsid w:val="6D8A175D"/>
    <w:rsid w:val="6D8C4654"/>
    <w:rsid w:val="6DA1296C"/>
    <w:rsid w:val="6DA170E8"/>
    <w:rsid w:val="6DB80168"/>
    <w:rsid w:val="6DDA1152"/>
    <w:rsid w:val="6DF130DE"/>
    <w:rsid w:val="6DFA065E"/>
    <w:rsid w:val="6E2A2B8B"/>
    <w:rsid w:val="6E2C655A"/>
    <w:rsid w:val="6E2C7F2B"/>
    <w:rsid w:val="6E412FD0"/>
    <w:rsid w:val="6E472D15"/>
    <w:rsid w:val="6E4D057C"/>
    <w:rsid w:val="6E855E99"/>
    <w:rsid w:val="6EC20A31"/>
    <w:rsid w:val="6ECD0100"/>
    <w:rsid w:val="6ED33EE7"/>
    <w:rsid w:val="6ED65590"/>
    <w:rsid w:val="6ED74A7F"/>
    <w:rsid w:val="6EFB3A30"/>
    <w:rsid w:val="6F2200E0"/>
    <w:rsid w:val="6F532332"/>
    <w:rsid w:val="6F7D42C6"/>
    <w:rsid w:val="6F7E23F3"/>
    <w:rsid w:val="6F7F6679"/>
    <w:rsid w:val="6F870F73"/>
    <w:rsid w:val="6F882533"/>
    <w:rsid w:val="6FAB7606"/>
    <w:rsid w:val="6FBA08DC"/>
    <w:rsid w:val="6FC666D4"/>
    <w:rsid w:val="6FD11192"/>
    <w:rsid w:val="6FDB21D6"/>
    <w:rsid w:val="6FED3591"/>
    <w:rsid w:val="6FFD7DB8"/>
    <w:rsid w:val="6FFE202C"/>
    <w:rsid w:val="70027CE9"/>
    <w:rsid w:val="70337382"/>
    <w:rsid w:val="70353B8E"/>
    <w:rsid w:val="70393102"/>
    <w:rsid w:val="70444FF1"/>
    <w:rsid w:val="704F4E39"/>
    <w:rsid w:val="70513FA5"/>
    <w:rsid w:val="705D1564"/>
    <w:rsid w:val="70705B01"/>
    <w:rsid w:val="7076085F"/>
    <w:rsid w:val="70770877"/>
    <w:rsid w:val="707E5B31"/>
    <w:rsid w:val="708E381D"/>
    <w:rsid w:val="709222E2"/>
    <w:rsid w:val="709B05CB"/>
    <w:rsid w:val="70BD3E67"/>
    <w:rsid w:val="70DA40DF"/>
    <w:rsid w:val="70E141FB"/>
    <w:rsid w:val="71096E18"/>
    <w:rsid w:val="71274DC2"/>
    <w:rsid w:val="7159141D"/>
    <w:rsid w:val="71623285"/>
    <w:rsid w:val="71653334"/>
    <w:rsid w:val="71793FCD"/>
    <w:rsid w:val="717F20EE"/>
    <w:rsid w:val="718C7E63"/>
    <w:rsid w:val="71993E8C"/>
    <w:rsid w:val="71B8669C"/>
    <w:rsid w:val="71C25B96"/>
    <w:rsid w:val="71DD650B"/>
    <w:rsid w:val="71E92739"/>
    <w:rsid w:val="71FE1A54"/>
    <w:rsid w:val="721312D8"/>
    <w:rsid w:val="72161C49"/>
    <w:rsid w:val="722B36C8"/>
    <w:rsid w:val="724E7646"/>
    <w:rsid w:val="72537C54"/>
    <w:rsid w:val="725701D1"/>
    <w:rsid w:val="7262214E"/>
    <w:rsid w:val="728A066E"/>
    <w:rsid w:val="7296248F"/>
    <w:rsid w:val="72C40600"/>
    <w:rsid w:val="72C600D8"/>
    <w:rsid w:val="72FE1D5F"/>
    <w:rsid w:val="73755DEB"/>
    <w:rsid w:val="738132D6"/>
    <w:rsid w:val="73AF6786"/>
    <w:rsid w:val="73B1065D"/>
    <w:rsid w:val="73BA1E9B"/>
    <w:rsid w:val="73C11535"/>
    <w:rsid w:val="73C37C82"/>
    <w:rsid w:val="73CD3C41"/>
    <w:rsid w:val="73D03A2D"/>
    <w:rsid w:val="73DD25F8"/>
    <w:rsid w:val="73E82D35"/>
    <w:rsid w:val="740451AA"/>
    <w:rsid w:val="740F0137"/>
    <w:rsid w:val="74384B52"/>
    <w:rsid w:val="74460A27"/>
    <w:rsid w:val="744979C8"/>
    <w:rsid w:val="74800CF7"/>
    <w:rsid w:val="74A62D93"/>
    <w:rsid w:val="74C72DEA"/>
    <w:rsid w:val="74D61FA3"/>
    <w:rsid w:val="751F14A5"/>
    <w:rsid w:val="7529176A"/>
    <w:rsid w:val="753B04F4"/>
    <w:rsid w:val="75417FF9"/>
    <w:rsid w:val="7561775E"/>
    <w:rsid w:val="756C7FB4"/>
    <w:rsid w:val="758C74D3"/>
    <w:rsid w:val="758F436B"/>
    <w:rsid w:val="759F48F6"/>
    <w:rsid w:val="75CC7278"/>
    <w:rsid w:val="75CE63A6"/>
    <w:rsid w:val="75F90C51"/>
    <w:rsid w:val="760F7D6E"/>
    <w:rsid w:val="761D02BF"/>
    <w:rsid w:val="76213D87"/>
    <w:rsid w:val="764C7E42"/>
    <w:rsid w:val="765A1C94"/>
    <w:rsid w:val="76683299"/>
    <w:rsid w:val="76A21419"/>
    <w:rsid w:val="76A47346"/>
    <w:rsid w:val="76C72CC4"/>
    <w:rsid w:val="76D12CAD"/>
    <w:rsid w:val="76F07F31"/>
    <w:rsid w:val="76F345E7"/>
    <w:rsid w:val="77005BDD"/>
    <w:rsid w:val="77083EF7"/>
    <w:rsid w:val="77095483"/>
    <w:rsid w:val="771A5935"/>
    <w:rsid w:val="772220C8"/>
    <w:rsid w:val="773854E1"/>
    <w:rsid w:val="773D6A42"/>
    <w:rsid w:val="774C42B4"/>
    <w:rsid w:val="77626998"/>
    <w:rsid w:val="778958C2"/>
    <w:rsid w:val="77A32F52"/>
    <w:rsid w:val="77A46B66"/>
    <w:rsid w:val="77A92DAD"/>
    <w:rsid w:val="77AD0E2C"/>
    <w:rsid w:val="77D00A8D"/>
    <w:rsid w:val="77F46C54"/>
    <w:rsid w:val="78335C35"/>
    <w:rsid w:val="7834248B"/>
    <w:rsid w:val="787959C5"/>
    <w:rsid w:val="78B77F23"/>
    <w:rsid w:val="78D7130C"/>
    <w:rsid w:val="78DE7A3D"/>
    <w:rsid w:val="78EC72C3"/>
    <w:rsid w:val="79282414"/>
    <w:rsid w:val="79352EE7"/>
    <w:rsid w:val="79383397"/>
    <w:rsid w:val="79387E93"/>
    <w:rsid w:val="7945587E"/>
    <w:rsid w:val="796B5F02"/>
    <w:rsid w:val="797C4A81"/>
    <w:rsid w:val="799476E6"/>
    <w:rsid w:val="79B53850"/>
    <w:rsid w:val="79B6324C"/>
    <w:rsid w:val="79BC6D80"/>
    <w:rsid w:val="79D35D8D"/>
    <w:rsid w:val="79DA0722"/>
    <w:rsid w:val="79DE2DCD"/>
    <w:rsid w:val="79F1729D"/>
    <w:rsid w:val="79FE2930"/>
    <w:rsid w:val="7A044B24"/>
    <w:rsid w:val="7A0C00F4"/>
    <w:rsid w:val="7A0F316A"/>
    <w:rsid w:val="7A161136"/>
    <w:rsid w:val="7A162BBB"/>
    <w:rsid w:val="7A38745D"/>
    <w:rsid w:val="7A3E6C09"/>
    <w:rsid w:val="7A407ADA"/>
    <w:rsid w:val="7A462062"/>
    <w:rsid w:val="7A5F6A89"/>
    <w:rsid w:val="7A60124C"/>
    <w:rsid w:val="7A6A2C3B"/>
    <w:rsid w:val="7A6F449B"/>
    <w:rsid w:val="7A731E55"/>
    <w:rsid w:val="7A793158"/>
    <w:rsid w:val="7A7D10DE"/>
    <w:rsid w:val="7A7E2965"/>
    <w:rsid w:val="7A816ADB"/>
    <w:rsid w:val="7A841815"/>
    <w:rsid w:val="7A863E95"/>
    <w:rsid w:val="7A9547E7"/>
    <w:rsid w:val="7AAE2832"/>
    <w:rsid w:val="7ABB232C"/>
    <w:rsid w:val="7AC65550"/>
    <w:rsid w:val="7AEA2C12"/>
    <w:rsid w:val="7AFC025E"/>
    <w:rsid w:val="7B116D30"/>
    <w:rsid w:val="7B1227F8"/>
    <w:rsid w:val="7B2745E3"/>
    <w:rsid w:val="7B2F54CB"/>
    <w:rsid w:val="7B300F8F"/>
    <w:rsid w:val="7B375298"/>
    <w:rsid w:val="7B3D4444"/>
    <w:rsid w:val="7B4512DD"/>
    <w:rsid w:val="7B533262"/>
    <w:rsid w:val="7B6A693D"/>
    <w:rsid w:val="7B781F73"/>
    <w:rsid w:val="7B925FD1"/>
    <w:rsid w:val="7B9C247A"/>
    <w:rsid w:val="7B9D699B"/>
    <w:rsid w:val="7BA26A6B"/>
    <w:rsid w:val="7BB653AF"/>
    <w:rsid w:val="7BB77D32"/>
    <w:rsid w:val="7BC10496"/>
    <w:rsid w:val="7BC32309"/>
    <w:rsid w:val="7BCB7036"/>
    <w:rsid w:val="7BCC0DF1"/>
    <w:rsid w:val="7BDA3C38"/>
    <w:rsid w:val="7BE942FF"/>
    <w:rsid w:val="7C074E31"/>
    <w:rsid w:val="7C1E11C8"/>
    <w:rsid w:val="7C2B0D47"/>
    <w:rsid w:val="7C2D09C7"/>
    <w:rsid w:val="7C4C5138"/>
    <w:rsid w:val="7C664743"/>
    <w:rsid w:val="7C7D5F56"/>
    <w:rsid w:val="7C8063B4"/>
    <w:rsid w:val="7CA3313C"/>
    <w:rsid w:val="7CA42425"/>
    <w:rsid w:val="7CD4603A"/>
    <w:rsid w:val="7CED31EB"/>
    <w:rsid w:val="7CEE709F"/>
    <w:rsid w:val="7D164412"/>
    <w:rsid w:val="7D180730"/>
    <w:rsid w:val="7D367D51"/>
    <w:rsid w:val="7D430FDF"/>
    <w:rsid w:val="7D5052A6"/>
    <w:rsid w:val="7D6A081C"/>
    <w:rsid w:val="7D8F03C4"/>
    <w:rsid w:val="7D8F6FEB"/>
    <w:rsid w:val="7DBD5C5A"/>
    <w:rsid w:val="7DC2341E"/>
    <w:rsid w:val="7DC35F86"/>
    <w:rsid w:val="7DDD5FDA"/>
    <w:rsid w:val="7E1E53DD"/>
    <w:rsid w:val="7E207B14"/>
    <w:rsid w:val="7E3079B6"/>
    <w:rsid w:val="7E6B5E7B"/>
    <w:rsid w:val="7E7B02C7"/>
    <w:rsid w:val="7E9B1A1D"/>
    <w:rsid w:val="7EC016F1"/>
    <w:rsid w:val="7EC41B32"/>
    <w:rsid w:val="7EC5736A"/>
    <w:rsid w:val="7EE21270"/>
    <w:rsid w:val="7EED3DCE"/>
    <w:rsid w:val="7EEE5760"/>
    <w:rsid w:val="7F016E32"/>
    <w:rsid w:val="7F021FB8"/>
    <w:rsid w:val="7F155321"/>
    <w:rsid w:val="7F2D58F4"/>
    <w:rsid w:val="7F2F27E1"/>
    <w:rsid w:val="7F386678"/>
    <w:rsid w:val="7F5B0B7E"/>
    <w:rsid w:val="7F712B25"/>
    <w:rsid w:val="7F795899"/>
    <w:rsid w:val="7FA47D77"/>
    <w:rsid w:val="7FB1158D"/>
    <w:rsid w:val="7FCC28DA"/>
    <w:rsid w:val="7FCF0809"/>
    <w:rsid w:val="7FD32638"/>
    <w:rsid w:val="7FDC5C54"/>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4"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snapToGrid w:val="0"/>
      <w:ind w:firstLine="0" w:firstLineChars="0"/>
      <w:jc w:val="center"/>
      <w:outlineLvl w:val="0"/>
    </w:pPr>
    <w:rPr>
      <w:b/>
      <w:bCs/>
      <w:kern w:val="44"/>
      <w:sz w:val="30"/>
      <w:szCs w:val="44"/>
    </w:rPr>
  </w:style>
  <w:style w:type="paragraph" w:styleId="3">
    <w:name w:val="heading 2"/>
    <w:basedOn w:val="1"/>
    <w:next w:val="1"/>
    <w:link w:val="52"/>
    <w:qFormat/>
    <w:uiPriority w:val="0"/>
    <w:pPr>
      <w:snapToGrid w:val="0"/>
      <w:spacing w:before="50" w:beforeLines="50"/>
      <w:ind w:firstLine="0" w:firstLineChars="0"/>
      <w:outlineLvl w:val="1"/>
    </w:pPr>
    <w:rPr>
      <w:b/>
      <w:color w:val="000000"/>
      <w:sz w:val="24"/>
      <w:szCs w:val="21"/>
    </w:rPr>
  </w:style>
  <w:style w:type="paragraph" w:styleId="4">
    <w:name w:val="heading 3"/>
    <w:basedOn w:val="1"/>
    <w:next w:val="1"/>
    <w:link w:val="53"/>
    <w:qFormat/>
    <w:uiPriority w:val="0"/>
    <w:pPr>
      <w:keepNext/>
      <w:keepLines/>
      <w:outlineLvl w:val="2"/>
    </w:pPr>
    <w:rPr>
      <w:b/>
      <w:kern w:val="0"/>
    </w:rPr>
  </w:style>
  <w:style w:type="paragraph" w:styleId="5">
    <w:name w:val="heading 4"/>
    <w:basedOn w:val="1"/>
    <w:next w:val="1"/>
    <w:link w:val="54"/>
    <w:qFormat/>
    <w:uiPriority w:val="0"/>
    <w:pPr>
      <w:keepNext/>
      <w:keepLines/>
      <w:outlineLvl w:val="3"/>
    </w:pPr>
    <w:rPr>
      <w:b/>
      <w:bCs/>
      <w:kern w:val="0"/>
      <w:szCs w:val="28"/>
    </w:rPr>
  </w:style>
  <w:style w:type="character" w:default="1" w:styleId="44">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List Number"/>
    <w:basedOn w:val="1"/>
    <w:qFormat/>
    <w:uiPriority w:val="0"/>
    <w:pPr>
      <w:widowControl/>
      <w:tabs>
        <w:tab w:val="left" w:pos="454"/>
        <w:tab w:val="left" w:pos="720"/>
      </w:tabs>
      <w:spacing w:afterLines="50"/>
      <w:ind w:left="454" w:hanging="284"/>
      <w:jc w:val="left"/>
    </w:pPr>
    <w:rPr>
      <w:kern w:val="0"/>
      <w:sz w:val="24"/>
      <w:szCs w:val="20"/>
    </w:rPr>
  </w:style>
  <w:style w:type="paragraph" w:styleId="8">
    <w:name w:val="Normal Indent"/>
    <w:basedOn w:val="1"/>
    <w:next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55"/>
    <w:qFormat/>
    <w:uiPriority w:val="0"/>
    <w:rPr>
      <w:rFonts w:ascii="宋体"/>
      <w:kern w:val="0"/>
      <w:sz w:val="18"/>
      <w:szCs w:val="18"/>
    </w:rPr>
  </w:style>
  <w:style w:type="paragraph" w:styleId="11">
    <w:name w:val="annotation text"/>
    <w:basedOn w:val="1"/>
    <w:link w:val="56"/>
    <w:unhideWhenUsed/>
    <w:qFormat/>
    <w:uiPriority w:val="99"/>
    <w:pPr>
      <w:jc w:val="left"/>
    </w:pPr>
    <w:rPr>
      <w:kern w:val="0"/>
      <w:sz w:val="20"/>
    </w:rPr>
  </w:style>
  <w:style w:type="paragraph" w:styleId="12">
    <w:name w:val="Body Text 3"/>
    <w:basedOn w:val="1"/>
    <w:link w:val="57"/>
    <w:qFormat/>
    <w:uiPriority w:val="0"/>
    <w:pPr>
      <w:snapToGrid w:val="0"/>
      <w:spacing w:before="50" w:after="50"/>
    </w:pPr>
    <w:rPr>
      <w:rFonts w:hAnsi="宋体" w:eastAsia="仿宋_GB2312"/>
      <w:b/>
      <w:bCs/>
      <w:kern w:val="0"/>
      <w:sz w:val="24"/>
      <w:szCs w:val="20"/>
    </w:rPr>
  </w:style>
  <w:style w:type="paragraph" w:styleId="13">
    <w:name w:val="Body Text"/>
    <w:basedOn w:val="1"/>
    <w:link w:val="58"/>
    <w:qFormat/>
    <w:uiPriority w:val="0"/>
    <w:pPr>
      <w:spacing w:after="120"/>
    </w:pPr>
    <w:rPr>
      <w:kern w:val="0"/>
      <w:sz w:val="28"/>
    </w:rPr>
  </w:style>
  <w:style w:type="paragraph" w:styleId="14">
    <w:name w:val="Body Text Indent"/>
    <w:basedOn w:val="1"/>
    <w:link w:val="59"/>
    <w:qFormat/>
    <w:uiPriority w:val="0"/>
    <w:pPr>
      <w:spacing w:line="200" w:lineRule="exact"/>
      <w:ind w:firstLine="301"/>
    </w:pPr>
    <w:rPr>
      <w:rFonts w:hint="eastAsia" w:ascii="宋体" w:hAnsi="Courier New" w:cs="宋体"/>
      <w:spacing w:val="-4"/>
      <w:sz w:val="18"/>
      <w:szCs w:val="20"/>
    </w:rPr>
  </w:style>
  <w:style w:type="paragraph" w:styleId="15">
    <w:name w:val="List Number 3"/>
    <w:basedOn w:val="1"/>
    <w:qFormat/>
    <w:uiPriority w:val="0"/>
    <w:pPr>
      <w:tabs>
        <w:tab w:val="left" w:pos="1200"/>
      </w:tabs>
      <w:ind w:left="1200" w:hanging="360"/>
    </w:pPr>
  </w:style>
  <w:style w:type="paragraph" w:styleId="16">
    <w:name w:val="List 2"/>
    <w:basedOn w:val="1"/>
    <w:qFormat/>
    <w:uiPriority w:val="0"/>
    <w:pPr>
      <w:ind w:left="100" w:leftChars="200" w:hanging="200" w:hangingChars="200"/>
    </w:pPr>
    <w:rPr>
      <w:sz w:val="28"/>
    </w:rPr>
  </w:style>
  <w:style w:type="paragraph" w:styleId="17">
    <w:name w:val="Block Text"/>
    <w:basedOn w:val="1"/>
    <w:next w:val="1"/>
    <w:qFormat/>
    <w:uiPriority w:val="0"/>
    <w:pPr>
      <w:adjustRightInd w:val="0"/>
      <w:spacing w:line="300" w:lineRule="auto"/>
      <w:ind w:left="958" w:right="-120" w:rightChars="-120"/>
      <w:jc w:val="left"/>
    </w:pPr>
    <w:rPr>
      <w:rFonts w:ascii="宋体" w:hAnsi="宋体"/>
      <w:sz w:val="28"/>
    </w:rPr>
  </w:style>
  <w:style w:type="paragraph" w:styleId="18">
    <w:name w:val="index 4"/>
    <w:basedOn w:val="1"/>
    <w:next w:val="1"/>
    <w:qFormat/>
    <w:uiPriority w:val="0"/>
    <w:pPr>
      <w:ind w:left="600" w:leftChars="600"/>
    </w:pPr>
  </w:style>
  <w:style w:type="paragraph" w:styleId="19">
    <w:name w:val="toc 5"/>
    <w:basedOn w:val="1"/>
    <w:next w:val="1"/>
    <w:qFormat/>
    <w:uiPriority w:val="39"/>
    <w:pPr>
      <w:ind w:left="1680" w:leftChars="800"/>
    </w:pPr>
  </w:style>
  <w:style w:type="paragraph" w:styleId="20">
    <w:name w:val="toc 3"/>
    <w:basedOn w:val="1"/>
    <w:next w:val="1"/>
    <w:qFormat/>
    <w:uiPriority w:val="39"/>
    <w:pPr>
      <w:ind w:left="840" w:leftChars="400"/>
    </w:pPr>
  </w:style>
  <w:style w:type="paragraph" w:styleId="21">
    <w:name w:val="Plain Text"/>
    <w:basedOn w:val="1"/>
    <w:link w:val="60"/>
    <w:qFormat/>
    <w:uiPriority w:val="0"/>
    <w:pPr>
      <w:spacing w:beforeLines="50" w:afterLines="50" w:line="400" w:lineRule="exact"/>
    </w:pPr>
    <w:rPr>
      <w:rFonts w:hint="eastAsia" w:ascii="宋体" w:hAnsi="Courier New" w:cs="宋体"/>
      <w:sz w:val="24"/>
    </w:rPr>
  </w:style>
  <w:style w:type="paragraph" w:styleId="22">
    <w:name w:val="toc 8"/>
    <w:basedOn w:val="1"/>
    <w:next w:val="1"/>
    <w:qFormat/>
    <w:uiPriority w:val="39"/>
    <w:pPr>
      <w:ind w:left="2940" w:leftChars="1400"/>
    </w:pPr>
  </w:style>
  <w:style w:type="paragraph" w:styleId="23">
    <w:name w:val="Date"/>
    <w:basedOn w:val="1"/>
    <w:next w:val="1"/>
    <w:link w:val="61"/>
    <w:qFormat/>
    <w:uiPriority w:val="0"/>
    <w:pPr>
      <w:ind w:left="2500" w:leftChars="2500"/>
    </w:pPr>
    <w:rPr>
      <w:rFonts w:eastAsia="楷体_GB2312"/>
      <w:kern w:val="0"/>
      <w:sz w:val="32"/>
      <w:szCs w:val="20"/>
    </w:rPr>
  </w:style>
  <w:style w:type="paragraph" w:styleId="24">
    <w:name w:val="Body Text Indent 2"/>
    <w:basedOn w:val="1"/>
    <w:link w:val="62"/>
    <w:qFormat/>
    <w:uiPriority w:val="0"/>
    <w:pPr>
      <w:snapToGrid w:val="0"/>
      <w:ind w:firstLine="542" w:firstLineChars="225"/>
    </w:pPr>
    <w:rPr>
      <w:rFonts w:ascii="仿宋_GB2312" w:hAnsi="宋体"/>
      <w:b/>
      <w:bCs/>
      <w:color w:val="000000"/>
      <w:kern w:val="0"/>
      <w:sz w:val="24"/>
    </w:rPr>
  </w:style>
  <w:style w:type="paragraph" w:styleId="25">
    <w:name w:val="Balloon Text"/>
    <w:basedOn w:val="1"/>
    <w:link w:val="63"/>
    <w:qFormat/>
    <w:uiPriority w:val="0"/>
    <w:rPr>
      <w:kern w:val="0"/>
      <w:sz w:val="18"/>
      <w:szCs w:val="18"/>
    </w:rPr>
  </w:style>
  <w:style w:type="paragraph" w:styleId="26">
    <w:name w:val="footer"/>
    <w:basedOn w:val="1"/>
    <w:link w:val="64"/>
    <w:qFormat/>
    <w:uiPriority w:val="99"/>
    <w:pPr>
      <w:tabs>
        <w:tab w:val="center" w:pos="4153"/>
        <w:tab w:val="right" w:pos="8306"/>
      </w:tabs>
      <w:snapToGrid w:val="0"/>
      <w:jc w:val="left"/>
    </w:pPr>
    <w:rPr>
      <w:rFonts w:eastAsia="黑体"/>
      <w:kern w:val="0"/>
      <w:sz w:val="18"/>
      <w:szCs w:val="18"/>
    </w:rPr>
  </w:style>
  <w:style w:type="paragraph" w:styleId="27">
    <w:name w:val="header"/>
    <w:basedOn w:val="1"/>
    <w:link w:val="65"/>
    <w:qFormat/>
    <w:uiPriority w:val="0"/>
    <w:pPr>
      <w:pBdr>
        <w:bottom w:val="single" w:color="auto" w:sz="6" w:space="1"/>
      </w:pBdr>
      <w:tabs>
        <w:tab w:val="center" w:pos="4153"/>
        <w:tab w:val="right" w:pos="8306"/>
      </w:tabs>
      <w:snapToGrid w:val="0"/>
      <w:jc w:val="center"/>
    </w:pPr>
    <w:rPr>
      <w:rFonts w:eastAsia="仿宋_GB2312"/>
      <w:kern w:val="0"/>
      <w:sz w:val="18"/>
      <w:szCs w:val="20"/>
    </w:rPr>
  </w:style>
  <w:style w:type="paragraph" w:styleId="28">
    <w:name w:val="toc 1"/>
    <w:basedOn w:val="1"/>
    <w:next w:val="1"/>
    <w:qFormat/>
    <w:uiPriority w:val="39"/>
    <w:pPr>
      <w:ind w:firstLine="0" w:firstLineChars="0"/>
      <w:jc w:val="center"/>
    </w:pPr>
    <w:rPr>
      <w:b/>
      <w:sz w:val="28"/>
    </w:rPr>
  </w:style>
  <w:style w:type="paragraph" w:styleId="29">
    <w:name w:val="toc 4"/>
    <w:basedOn w:val="1"/>
    <w:next w:val="1"/>
    <w:qFormat/>
    <w:uiPriority w:val="39"/>
    <w:pPr>
      <w:ind w:left="1260" w:leftChars="600"/>
    </w:pPr>
  </w:style>
  <w:style w:type="paragraph" w:styleId="30">
    <w:name w:val="List"/>
    <w:basedOn w:val="1"/>
    <w:qFormat/>
    <w:uiPriority w:val="0"/>
    <w:pPr>
      <w:ind w:left="200" w:hanging="200" w:hangingChars="200"/>
    </w:pPr>
    <w:rPr>
      <w:sz w:val="28"/>
    </w:rPr>
  </w:style>
  <w:style w:type="paragraph" w:styleId="31">
    <w:name w:val="toc 6"/>
    <w:basedOn w:val="1"/>
    <w:next w:val="1"/>
    <w:qFormat/>
    <w:uiPriority w:val="39"/>
    <w:pPr>
      <w:ind w:left="2100" w:leftChars="1000"/>
    </w:pPr>
  </w:style>
  <w:style w:type="paragraph" w:styleId="32">
    <w:name w:val="Body Text Indent 3"/>
    <w:basedOn w:val="1"/>
    <w:link w:val="66"/>
    <w:qFormat/>
    <w:uiPriority w:val="0"/>
    <w:pPr>
      <w:snapToGrid w:val="0"/>
      <w:ind w:firstLine="480"/>
      <w:jc w:val="left"/>
    </w:pPr>
    <w:rPr>
      <w:rFonts w:ascii="仿宋_GB2312" w:hAnsi="宋体" w:eastAsia="仿宋_GB2312"/>
      <w:color w:val="000000"/>
      <w:kern w:val="0"/>
      <w:sz w:val="24"/>
    </w:rPr>
  </w:style>
  <w:style w:type="paragraph" w:styleId="33">
    <w:name w:val="toc 2"/>
    <w:basedOn w:val="1"/>
    <w:next w:val="1"/>
    <w:qFormat/>
    <w:uiPriority w:val="39"/>
    <w:pPr>
      <w:ind w:left="420" w:leftChars="200"/>
    </w:pPr>
  </w:style>
  <w:style w:type="paragraph" w:styleId="34">
    <w:name w:val="toc 9"/>
    <w:basedOn w:val="1"/>
    <w:next w:val="1"/>
    <w:qFormat/>
    <w:uiPriority w:val="39"/>
    <w:pPr>
      <w:ind w:left="3360" w:leftChars="1600"/>
    </w:pPr>
  </w:style>
  <w:style w:type="paragraph" w:styleId="35">
    <w:name w:val="Body Text 2"/>
    <w:basedOn w:val="1"/>
    <w:link w:val="67"/>
    <w:qFormat/>
    <w:uiPriority w:val="0"/>
    <w:pPr>
      <w:widowControl/>
      <w:snapToGrid w:val="0"/>
      <w:spacing w:before="50" w:afterLines="50" w:line="400" w:lineRule="exact"/>
      <w:jc w:val="left"/>
    </w:pPr>
    <w:rPr>
      <w:rFonts w:ascii="宋体" w:hAnsi="宋体"/>
      <w:color w:val="000000"/>
      <w:kern w:val="0"/>
      <w:sz w:val="24"/>
    </w:rPr>
  </w:style>
  <w:style w:type="paragraph" w:styleId="36">
    <w:name w:val="HTML Preformatted"/>
    <w:basedOn w:val="1"/>
    <w:link w:val="6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Normal (Web)"/>
    <w:basedOn w:val="1"/>
    <w:qFormat/>
    <w:uiPriority w:val="0"/>
    <w:pPr>
      <w:widowControl/>
      <w:spacing w:before="100" w:beforeAutospacing="1" w:after="100" w:afterAutospacing="1"/>
      <w:jc w:val="left"/>
    </w:pPr>
    <w:rPr>
      <w:kern w:val="0"/>
      <w:sz w:val="24"/>
    </w:rPr>
  </w:style>
  <w:style w:type="paragraph" w:styleId="38">
    <w:name w:val="annotation subject"/>
    <w:basedOn w:val="11"/>
    <w:next w:val="11"/>
    <w:link w:val="69"/>
    <w:qFormat/>
    <w:uiPriority w:val="0"/>
    <w:rPr>
      <w:b/>
      <w:bCs/>
    </w:rPr>
  </w:style>
  <w:style w:type="paragraph" w:styleId="39">
    <w:name w:val="Body Text First Indent"/>
    <w:basedOn w:val="1"/>
    <w:next w:val="31"/>
    <w:qFormat/>
    <w:uiPriority w:val="99"/>
    <w:pPr>
      <w:spacing w:after="120" w:line="240" w:lineRule="auto"/>
      <w:ind w:firstLine="420" w:firstLineChars="100"/>
    </w:pPr>
  </w:style>
  <w:style w:type="paragraph" w:styleId="40">
    <w:name w:val="Body Text First Indent 2"/>
    <w:basedOn w:val="14"/>
    <w:link w:val="70"/>
    <w:unhideWhenUsed/>
    <w:qFormat/>
    <w:uiPriority w:val="99"/>
    <w:pPr>
      <w:spacing w:after="120" w:line="240" w:lineRule="auto"/>
      <w:ind w:left="420" w:leftChars="200" w:firstLine="420"/>
    </w:pPr>
    <w:rPr>
      <w:sz w:val="21"/>
      <w:szCs w:val="24"/>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3">
    <w:name w:val="Table Elegant"/>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0" w:type="dxa"/>
        <w:bottom w:w="0" w:type="dxa"/>
        <w:right w:w="0"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character" w:styleId="45">
    <w:name w:val="Strong"/>
    <w:qFormat/>
    <w:uiPriority w:val="0"/>
    <w:rPr>
      <w:b/>
      <w:bCs/>
    </w:rPr>
  </w:style>
  <w:style w:type="character" w:styleId="46">
    <w:name w:val="page number"/>
    <w:qFormat/>
    <w:uiPriority w:val="0"/>
  </w:style>
  <w:style w:type="character" w:styleId="47">
    <w:name w:val="FollowedHyperlink"/>
    <w:unhideWhenUsed/>
    <w:qFormat/>
    <w:uiPriority w:val="99"/>
    <w:rPr>
      <w:color w:val="5C5C5C"/>
      <w:u w:val="single"/>
    </w:rPr>
  </w:style>
  <w:style w:type="character" w:styleId="48">
    <w:name w:val="Emphasis"/>
    <w:qFormat/>
    <w:uiPriority w:val="20"/>
    <w:rPr>
      <w:i/>
      <w:iCs/>
    </w:rPr>
  </w:style>
  <w:style w:type="character" w:styleId="49">
    <w:name w:val="Hyperlink"/>
    <w:qFormat/>
    <w:uiPriority w:val="99"/>
    <w:rPr>
      <w:color w:val="5C5C5C"/>
      <w:u w:val="single"/>
    </w:rPr>
  </w:style>
  <w:style w:type="character" w:styleId="50">
    <w:name w:val="annotation reference"/>
    <w:qFormat/>
    <w:uiPriority w:val="0"/>
    <w:rPr>
      <w:sz w:val="21"/>
      <w:szCs w:val="21"/>
    </w:rPr>
  </w:style>
  <w:style w:type="character" w:customStyle="1" w:styleId="51">
    <w:name w:val="标题 1 字符"/>
    <w:link w:val="2"/>
    <w:qFormat/>
    <w:uiPriority w:val="0"/>
    <w:rPr>
      <w:rFonts w:ascii="Times New Roman" w:hAnsi="Times New Roman" w:eastAsia="宋体"/>
      <w:b/>
      <w:bCs/>
      <w:kern w:val="44"/>
      <w:sz w:val="30"/>
      <w:szCs w:val="44"/>
    </w:rPr>
  </w:style>
  <w:style w:type="character" w:customStyle="1" w:styleId="52">
    <w:name w:val="标题 2 字符"/>
    <w:link w:val="3"/>
    <w:qFormat/>
    <w:uiPriority w:val="0"/>
    <w:rPr>
      <w:rFonts w:ascii="Times New Roman" w:hAnsi="Times New Roman" w:eastAsia="宋体"/>
      <w:b/>
      <w:color w:val="000000"/>
      <w:kern w:val="2"/>
      <w:sz w:val="24"/>
      <w:szCs w:val="21"/>
    </w:rPr>
  </w:style>
  <w:style w:type="character" w:customStyle="1" w:styleId="53">
    <w:name w:val="标题 3 字符"/>
    <w:link w:val="4"/>
    <w:qFormat/>
    <w:uiPriority w:val="0"/>
    <w:rPr>
      <w:rFonts w:ascii="Times New Roman" w:hAnsi="Times New Roman" w:eastAsia="宋体" w:cs="Times New Roman"/>
      <w:b/>
      <w:sz w:val="21"/>
      <w:szCs w:val="24"/>
    </w:rPr>
  </w:style>
  <w:style w:type="character" w:customStyle="1" w:styleId="54">
    <w:name w:val="标题 4 字符"/>
    <w:link w:val="5"/>
    <w:qFormat/>
    <w:uiPriority w:val="0"/>
    <w:rPr>
      <w:rFonts w:ascii="Times New Roman" w:hAnsi="Times New Roman" w:eastAsia="宋体" w:cs="Times New Roman"/>
      <w:b/>
      <w:bCs/>
      <w:sz w:val="21"/>
      <w:szCs w:val="28"/>
    </w:rPr>
  </w:style>
  <w:style w:type="character" w:customStyle="1" w:styleId="55">
    <w:name w:val="文档结构图 字符"/>
    <w:link w:val="10"/>
    <w:qFormat/>
    <w:uiPriority w:val="0"/>
    <w:rPr>
      <w:rFonts w:ascii="宋体"/>
      <w:sz w:val="18"/>
      <w:szCs w:val="18"/>
    </w:rPr>
  </w:style>
  <w:style w:type="character" w:customStyle="1" w:styleId="56">
    <w:name w:val="批注文字 字符"/>
    <w:link w:val="11"/>
    <w:semiHidden/>
    <w:qFormat/>
    <w:uiPriority w:val="99"/>
    <w:rPr>
      <w:rFonts w:ascii="Times New Roman" w:hAnsi="Times New Roman" w:eastAsia="宋体" w:cs="Times New Roman"/>
      <w:szCs w:val="24"/>
    </w:rPr>
  </w:style>
  <w:style w:type="character" w:customStyle="1" w:styleId="57">
    <w:name w:val="正文文本 3 字符"/>
    <w:link w:val="12"/>
    <w:qFormat/>
    <w:uiPriority w:val="0"/>
    <w:rPr>
      <w:rFonts w:ascii="Times New Roman" w:hAnsi="宋体" w:eastAsia="仿宋_GB2312" w:cs="Times New Roman"/>
      <w:b/>
      <w:bCs/>
      <w:sz w:val="24"/>
      <w:szCs w:val="20"/>
    </w:rPr>
  </w:style>
  <w:style w:type="character" w:customStyle="1" w:styleId="58">
    <w:name w:val="正文文本 字符"/>
    <w:link w:val="13"/>
    <w:qFormat/>
    <w:uiPriority w:val="0"/>
    <w:rPr>
      <w:rFonts w:ascii="Times New Roman" w:hAnsi="Times New Roman" w:eastAsia="宋体" w:cs="Times New Roman"/>
      <w:sz w:val="28"/>
      <w:szCs w:val="24"/>
    </w:rPr>
  </w:style>
  <w:style w:type="character" w:customStyle="1" w:styleId="59">
    <w:name w:val="正文文本缩进 字符"/>
    <w:link w:val="14"/>
    <w:qFormat/>
    <w:uiPriority w:val="0"/>
    <w:rPr>
      <w:rFonts w:hint="eastAsia" w:ascii="宋体" w:hAnsi="Courier New" w:eastAsia="宋体" w:cs="宋体"/>
      <w:spacing w:val="-4"/>
      <w:kern w:val="2"/>
      <w:sz w:val="18"/>
      <w:lang w:bidi="ar-SA"/>
    </w:rPr>
  </w:style>
  <w:style w:type="character" w:customStyle="1" w:styleId="60">
    <w:name w:val="纯文本 字符"/>
    <w:link w:val="21"/>
    <w:qFormat/>
    <w:uiPriority w:val="0"/>
    <w:rPr>
      <w:rFonts w:hint="eastAsia" w:ascii="宋体" w:hAnsi="Courier New" w:eastAsia="宋体" w:cs="宋体"/>
      <w:kern w:val="2"/>
      <w:sz w:val="24"/>
      <w:szCs w:val="24"/>
      <w:lang w:val="en-US" w:eastAsia="zh-CN" w:bidi="ar-SA"/>
    </w:rPr>
  </w:style>
  <w:style w:type="character" w:customStyle="1" w:styleId="61">
    <w:name w:val="日期 字符"/>
    <w:link w:val="23"/>
    <w:qFormat/>
    <w:uiPriority w:val="0"/>
    <w:rPr>
      <w:rFonts w:ascii="Times New Roman" w:hAnsi="Times New Roman" w:eastAsia="楷体_GB2312" w:cs="Times New Roman"/>
      <w:sz w:val="32"/>
      <w:szCs w:val="20"/>
    </w:rPr>
  </w:style>
  <w:style w:type="character" w:customStyle="1" w:styleId="62">
    <w:name w:val="正文文本缩进 2 字符"/>
    <w:link w:val="24"/>
    <w:qFormat/>
    <w:uiPriority w:val="0"/>
    <w:rPr>
      <w:rFonts w:ascii="仿宋_GB2312" w:hAnsi="宋体" w:eastAsia="宋体" w:cs="Arial"/>
      <w:b/>
      <w:bCs/>
      <w:color w:val="000000"/>
      <w:sz w:val="24"/>
      <w:szCs w:val="24"/>
    </w:rPr>
  </w:style>
  <w:style w:type="character" w:customStyle="1" w:styleId="63">
    <w:name w:val="批注框文本 字符"/>
    <w:link w:val="25"/>
    <w:qFormat/>
    <w:uiPriority w:val="0"/>
    <w:rPr>
      <w:rFonts w:ascii="Times New Roman" w:hAnsi="Times New Roman" w:eastAsia="宋体" w:cs="Times New Roman"/>
      <w:sz w:val="18"/>
      <w:szCs w:val="18"/>
    </w:rPr>
  </w:style>
  <w:style w:type="character" w:customStyle="1" w:styleId="64">
    <w:name w:val="页脚 字符"/>
    <w:link w:val="26"/>
    <w:qFormat/>
    <w:uiPriority w:val="99"/>
    <w:rPr>
      <w:rFonts w:eastAsia="黑体"/>
      <w:sz w:val="18"/>
      <w:szCs w:val="18"/>
    </w:rPr>
  </w:style>
  <w:style w:type="character" w:customStyle="1" w:styleId="65">
    <w:name w:val="页眉 字符"/>
    <w:link w:val="27"/>
    <w:qFormat/>
    <w:locked/>
    <w:uiPriority w:val="0"/>
    <w:rPr>
      <w:rFonts w:eastAsia="仿宋_GB2312"/>
      <w:sz w:val="18"/>
    </w:rPr>
  </w:style>
  <w:style w:type="character" w:customStyle="1" w:styleId="66">
    <w:name w:val="正文文本缩进 3 字符"/>
    <w:link w:val="32"/>
    <w:qFormat/>
    <w:uiPriority w:val="0"/>
    <w:rPr>
      <w:rFonts w:ascii="仿宋_GB2312" w:hAnsi="宋体" w:eastAsia="仿宋_GB2312" w:cs="Times New Roman"/>
      <w:color w:val="000000"/>
      <w:sz w:val="24"/>
      <w:szCs w:val="24"/>
    </w:rPr>
  </w:style>
  <w:style w:type="character" w:customStyle="1" w:styleId="67">
    <w:name w:val="正文文本 2 字符"/>
    <w:link w:val="35"/>
    <w:qFormat/>
    <w:uiPriority w:val="0"/>
    <w:rPr>
      <w:rFonts w:ascii="宋体" w:hAnsi="宋体" w:eastAsia="宋体" w:cs="Times New Roman"/>
      <w:color w:val="000000"/>
      <w:sz w:val="24"/>
      <w:szCs w:val="24"/>
    </w:rPr>
  </w:style>
  <w:style w:type="character" w:customStyle="1" w:styleId="68">
    <w:name w:val="HTML 预设格式 字符"/>
    <w:link w:val="36"/>
    <w:qFormat/>
    <w:uiPriority w:val="99"/>
    <w:rPr>
      <w:rFonts w:ascii="宋体" w:hAnsi="宋体" w:cs="宋体"/>
      <w:sz w:val="24"/>
      <w:szCs w:val="24"/>
    </w:rPr>
  </w:style>
  <w:style w:type="character" w:customStyle="1" w:styleId="69">
    <w:name w:val="批注主题 字符"/>
    <w:link w:val="38"/>
    <w:qFormat/>
    <w:uiPriority w:val="0"/>
    <w:rPr>
      <w:b/>
      <w:bCs/>
      <w:szCs w:val="24"/>
    </w:rPr>
  </w:style>
  <w:style w:type="character" w:customStyle="1" w:styleId="70">
    <w:name w:val="正文首行缩进 2 字符"/>
    <w:link w:val="40"/>
    <w:semiHidden/>
    <w:qFormat/>
    <w:uiPriority w:val="99"/>
    <w:rPr>
      <w:rFonts w:hint="eastAsia" w:ascii="宋体" w:hAnsi="Courier New" w:eastAsia="宋体" w:cs="宋体"/>
      <w:spacing w:val="-4"/>
      <w:kern w:val="2"/>
      <w:sz w:val="21"/>
      <w:szCs w:val="24"/>
      <w:lang w:bidi="ar-SA"/>
    </w:rPr>
  </w:style>
  <w:style w:type="paragraph" w:customStyle="1" w:styleId="71">
    <w:name w:val="Default"/>
    <w:next w:val="72"/>
    <w:unhideWhenUsed/>
    <w:qFormat/>
    <w:uiPriority w:val="99"/>
    <w:pPr>
      <w:widowControl w:val="0"/>
      <w:autoSpaceDE w:val="0"/>
      <w:autoSpaceDN w:val="0"/>
      <w:adjustRightInd w:val="0"/>
    </w:pPr>
    <w:rPr>
      <w:rFonts w:ascii="Heiti TC" w:hAnsi="Heiti TC" w:eastAsia="Heiti TC" w:cs="Times New Roman"/>
      <w:color w:val="000000"/>
      <w:sz w:val="24"/>
      <w:szCs w:val="22"/>
      <w:lang w:val="en-US" w:eastAsia="zh-CN" w:bidi="ar-SA"/>
    </w:rPr>
  </w:style>
  <w:style w:type="paragraph" w:customStyle="1" w:styleId="72">
    <w:name w:val="表格文字"/>
    <w:basedOn w:val="1"/>
    <w:next w:val="13"/>
    <w:qFormat/>
    <w:uiPriority w:val="0"/>
    <w:pPr>
      <w:widowControl/>
      <w:spacing w:before="25" w:after="25"/>
      <w:jc w:val="left"/>
    </w:pPr>
    <w:rPr>
      <w:rFonts w:ascii="Times" w:hAnsi="Times"/>
      <w:bCs/>
      <w:spacing w:val="10"/>
      <w:sz w:val="24"/>
    </w:rPr>
  </w:style>
  <w:style w:type="character" w:customStyle="1" w:styleId="73">
    <w:name w:val="样式 标题 1合同标题卷标题H1h1Level 1 Topic HeadingH11H12H111H13H1... Char"/>
    <w:qFormat/>
    <w:uiPriority w:val="0"/>
    <w:rPr>
      <w:rFonts w:ascii="宋体" w:hAnsi="宋体" w:eastAsia="宋体"/>
      <w:b/>
      <w:bCs/>
      <w:kern w:val="44"/>
      <w:sz w:val="24"/>
      <w:szCs w:val="44"/>
      <w:lang w:val="en-US" w:eastAsia="zh-CN" w:bidi="ar-SA"/>
    </w:rPr>
  </w:style>
  <w:style w:type="character" w:customStyle="1" w:styleId="74">
    <w:name w:val="param-name param-explain"/>
    <w:qFormat/>
    <w:uiPriority w:val="0"/>
  </w:style>
  <w:style w:type="character" w:customStyle="1" w:styleId="75">
    <w:name w:val="param-name"/>
    <w:qFormat/>
    <w:uiPriority w:val="0"/>
  </w:style>
  <w:style w:type="character" w:customStyle="1" w:styleId="76">
    <w:name w:val="页眉 Char1"/>
    <w:semiHidden/>
    <w:qFormat/>
    <w:uiPriority w:val="99"/>
    <w:rPr>
      <w:rFonts w:ascii="Times New Roman" w:hAnsi="Times New Roman" w:eastAsia="宋体" w:cs="Times New Roman"/>
      <w:sz w:val="18"/>
      <w:szCs w:val="18"/>
    </w:rPr>
  </w:style>
  <w:style w:type="character" w:customStyle="1" w:styleId="77">
    <w:name w:val="cye-lm-tag"/>
    <w:qFormat/>
    <w:uiPriority w:val="0"/>
  </w:style>
  <w:style w:type="character" w:customStyle="1" w:styleId="78">
    <w:name w:val="正文文本 3 Char1"/>
    <w:semiHidden/>
    <w:qFormat/>
    <w:uiPriority w:val="99"/>
    <w:rPr>
      <w:rFonts w:ascii="Tahoma" w:hAnsi="Tahoma"/>
      <w:kern w:val="2"/>
      <w:sz w:val="16"/>
      <w:szCs w:val="16"/>
    </w:rPr>
  </w:style>
  <w:style w:type="character" w:customStyle="1" w:styleId="79">
    <w:name w:val="正文文本缩进 Char3"/>
    <w:semiHidden/>
    <w:qFormat/>
    <w:uiPriority w:val="99"/>
    <w:rPr>
      <w:rFonts w:ascii="Tahoma" w:hAnsi="Tahoma"/>
      <w:kern w:val="2"/>
      <w:sz w:val="21"/>
      <w:szCs w:val="24"/>
    </w:rPr>
  </w:style>
  <w:style w:type="character" w:customStyle="1" w:styleId="80">
    <w:name w:val="正文文本缩进 Char"/>
    <w:qFormat/>
    <w:uiPriority w:val="0"/>
    <w:rPr>
      <w:rFonts w:ascii="宋体" w:hAnsi="Courier New"/>
      <w:spacing w:val="-4"/>
      <w:sz w:val="18"/>
    </w:rPr>
  </w:style>
  <w:style w:type="character" w:customStyle="1" w:styleId="81">
    <w:name w:val="apple-converted-space"/>
    <w:qFormat/>
    <w:uiPriority w:val="0"/>
  </w:style>
  <w:style w:type="character" w:customStyle="1" w:styleId="82">
    <w:name w:val="页脚 Char2"/>
    <w:semiHidden/>
    <w:qFormat/>
    <w:uiPriority w:val="99"/>
    <w:rPr>
      <w:rFonts w:ascii="Tahoma" w:hAnsi="Tahoma"/>
      <w:kern w:val="2"/>
      <w:sz w:val="18"/>
      <w:szCs w:val="18"/>
    </w:rPr>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Char1"/>
    <w:semiHidden/>
    <w:qFormat/>
    <w:uiPriority w:val="99"/>
    <w:rPr>
      <w:rFonts w:ascii="Tahoma" w:hAnsi="Tahoma"/>
      <w:kern w:val="2"/>
      <w:sz w:val="21"/>
      <w:szCs w:val="24"/>
    </w:rPr>
  </w:style>
  <w:style w:type="character" w:customStyle="1" w:styleId="85">
    <w:name w:val="font31"/>
    <w:qFormat/>
    <w:uiPriority w:val="0"/>
    <w:rPr>
      <w:rFonts w:hint="default" w:ascii="Arial" w:hAnsi="Arial" w:cs="Arial"/>
      <w:color w:val="000000"/>
      <w:sz w:val="20"/>
      <w:szCs w:val="20"/>
      <w:u w:val="none"/>
    </w:rPr>
  </w:style>
  <w:style w:type="character" w:customStyle="1" w:styleId="86">
    <w:name w:val="纯文本 Char1"/>
    <w:semiHidden/>
    <w:qFormat/>
    <w:uiPriority w:val="99"/>
    <w:rPr>
      <w:rFonts w:ascii="宋体" w:hAnsi="Courier New" w:eastAsia="宋体" w:cs="Courier New"/>
      <w:szCs w:val="21"/>
    </w:rPr>
  </w:style>
  <w:style w:type="character" w:customStyle="1" w:styleId="87">
    <w:name w:val="文档结构图 Char2"/>
    <w:semiHidden/>
    <w:qFormat/>
    <w:uiPriority w:val="99"/>
    <w:rPr>
      <w:rFonts w:ascii="宋体" w:hAnsi="Tahoma"/>
      <w:kern w:val="2"/>
      <w:sz w:val="18"/>
      <w:szCs w:val="18"/>
    </w:rPr>
  </w:style>
  <w:style w:type="character" w:customStyle="1" w:styleId="88">
    <w:name w:val="正文文本缩进 Char1"/>
    <w:semiHidden/>
    <w:qFormat/>
    <w:uiPriority w:val="99"/>
    <w:rPr>
      <w:rFonts w:ascii="Times New Roman" w:hAnsi="Times New Roman" w:eastAsia="宋体" w:cs="Times New Roman"/>
      <w:szCs w:val="24"/>
    </w:rPr>
  </w:style>
  <w:style w:type="character" w:customStyle="1" w:styleId="89">
    <w:name w:val="文档结构图 Char1"/>
    <w:semiHidden/>
    <w:qFormat/>
    <w:uiPriority w:val="99"/>
    <w:rPr>
      <w:rFonts w:ascii="宋体" w:hAnsi="Times New Roman" w:eastAsia="宋体" w:cs="Times New Roman"/>
      <w:sz w:val="18"/>
      <w:szCs w:val="18"/>
    </w:rPr>
  </w:style>
  <w:style w:type="character" w:customStyle="1" w:styleId="90">
    <w:name w:val="font11"/>
    <w:qFormat/>
    <w:uiPriority w:val="0"/>
    <w:rPr>
      <w:rFonts w:hint="eastAsia" w:ascii="宋体" w:hAnsi="宋体" w:eastAsia="宋体" w:cs="宋体"/>
      <w:color w:val="000000"/>
      <w:sz w:val="20"/>
      <w:szCs w:val="20"/>
      <w:u w:val="none"/>
    </w:rPr>
  </w:style>
  <w:style w:type="character" w:customStyle="1" w:styleId="91">
    <w:name w:val="页眉 Char2"/>
    <w:semiHidden/>
    <w:qFormat/>
    <w:uiPriority w:val="99"/>
    <w:rPr>
      <w:rFonts w:ascii="Tahoma" w:hAnsi="Tahoma"/>
      <w:kern w:val="2"/>
      <w:sz w:val="18"/>
      <w:szCs w:val="18"/>
    </w:rPr>
  </w:style>
  <w:style w:type="character" w:customStyle="1" w:styleId="92">
    <w:name w:val="批注主题 Char2"/>
    <w:semiHidden/>
    <w:qFormat/>
    <w:uiPriority w:val="99"/>
    <w:rPr>
      <w:rFonts w:ascii="Tahoma" w:hAnsi="Tahoma"/>
      <w:b/>
      <w:bCs/>
      <w:kern w:val="2"/>
      <w:sz w:val="21"/>
      <w:szCs w:val="24"/>
    </w:rPr>
  </w:style>
  <w:style w:type="character" w:customStyle="1" w:styleId="93">
    <w:name w:val="font21"/>
    <w:qFormat/>
    <w:uiPriority w:val="0"/>
    <w:rPr>
      <w:rFonts w:hint="eastAsia" w:ascii="宋体" w:hAnsi="宋体" w:eastAsia="宋体" w:cs="宋体"/>
      <w:color w:val="000000"/>
      <w:sz w:val="20"/>
      <w:szCs w:val="20"/>
      <w:u w:val="none"/>
    </w:rPr>
  </w:style>
  <w:style w:type="character" w:customStyle="1" w:styleId="94">
    <w:name w:val="正文文本 2 Char1"/>
    <w:semiHidden/>
    <w:qFormat/>
    <w:uiPriority w:val="99"/>
    <w:rPr>
      <w:rFonts w:ascii="Tahoma" w:hAnsi="Tahoma"/>
      <w:kern w:val="2"/>
      <w:sz w:val="21"/>
      <w:szCs w:val="24"/>
    </w:rPr>
  </w:style>
  <w:style w:type="character" w:customStyle="1" w:styleId="95">
    <w:name w:val="日期 Char1"/>
    <w:semiHidden/>
    <w:qFormat/>
    <w:uiPriority w:val="99"/>
    <w:rPr>
      <w:rFonts w:ascii="Tahoma" w:hAnsi="Tahoma"/>
      <w:kern w:val="2"/>
      <w:sz w:val="21"/>
      <w:szCs w:val="24"/>
    </w:rPr>
  </w:style>
  <w:style w:type="character" w:customStyle="1" w:styleId="96">
    <w:name w:val="HTML 预设格式 Char1"/>
    <w:semiHidden/>
    <w:qFormat/>
    <w:uiPriority w:val="99"/>
    <w:rPr>
      <w:rFonts w:ascii="Courier New" w:hAnsi="Courier New" w:cs="Courier New"/>
      <w:kern w:val="2"/>
      <w:sz w:val="24"/>
      <w:szCs w:val="24"/>
    </w:rPr>
  </w:style>
  <w:style w:type="character" w:customStyle="1" w:styleId="97">
    <w:name w:val="正文文本缩进 2 Char1"/>
    <w:semiHidden/>
    <w:qFormat/>
    <w:uiPriority w:val="99"/>
    <w:rPr>
      <w:rFonts w:ascii="Tahoma" w:hAnsi="Tahoma"/>
      <w:kern w:val="2"/>
      <w:sz w:val="21"/>
      <w:szCs w:val="24"/>
    </w:rPr>
  </w:style>
  <w:style w:type="character" w:customStyle="1" w:styleId="98">
    <w:name w:val="纯文本 Char"/>
    <w:qFormat/>
    <w:uiPriority w:val="0"/>
    <w:rPr>
      <w:rFonts w:ascii="宋体" w:hAnsi="Courier New" w:eastAsia="宋体"/>
      <w:sz w:val="24"/>
      <w:szCs w:val="24"/>
    </w:rPr>
  </w:style>
  <w:style w:type="character" w:customStyle="1" w:styleId="99">
    <w:name w:val="纯文本 Char3"/>
    <w:semiHidden/>
    <w:qFormat/>
    <w:uiPriority w:val="99"/>
    <w:rPr>
      <w:rFonts w:ascii="宋体" w:hAnsi="Courier New" w:cs="Courier New"/>
      <w:kern w:val="2"/>
      <w:sz w:val="21"/>
      <w:szCs w:val="21"/>
    </w:rPr>
  </w:style>
  <w:style w:type="character" w:customStyle="1" w:styleId="100">
    <w:name w:val="font01"/>
    <w:qFormat/>
    <w:uiPriority w:val="0"/>
    <w:rPr>
      <w:rFonts w:hint="eastAsia" w:ascii="宋体" w:hAnsi="宋体" w:eastAsia="宋体" w:cs="宋体"/>
      <w:color w:val="000000"/>
      <w:sz w:val="20"/>
      <w:szCs w:val="20"/>
      <w:u w:val="none"/>
    </w:rPr>
  </w:style>
  <w:style w:type="character" w:customStyle="1" w:styleId="101">
    <w:name w:val="批注主题 Char1"/>
    <w:semiHidden/>
    <w:qFormat/>
    <w:uiPriority w:val="99"/>
    <w:rPr>
      <w:rFonts w:ascii="Times New Roman" w:hAnsi="Times New Roman" w:eastAsia="宋体" w:cs="Times New Roman"/>
      <w:b/>
      <w:bCs/>
      <w:szCs w:val="24"/>
    </w:rPr>
  </w:style>
  <w:style w:type="character" w:customStyle="1" w:styleId="102">
    <w:name w:val="正文文本缩进 3 Char1"/>
    <w:semiHidden/>
    <w:qFormat/>
    <w:uiPriority w:val="99"/>
    <w:rPr>
      <w:rFonts w:ascii="Tahoma" w:hAnsi="Tahoma"/>
      <w:kern w:val="2"/>
      <w:sz w:val="16"/>
      <w:szCs w:val="16"/>
    </w:rPr>
  </w:style>
  <w:style w:type="character" w:customStyle="1" w:styleId="103">
    <w:name w:val="批注文字 Char"/>
    <w:qFormat/>
    <w:uiPriority w:val="0"/>
    <w:rPr>
      <w:kern w:val="2"/>
      <w:sz w:val="21"/>
      <w:szCs w:val="24"/>
    </w:rPr>
  </w:style>
  <w:style w:type="character" w:customStyle="1" w:styleId="104">
    <w:name w:val="批注文字 Char2"/>
    <w:semiHidden/>
    <w:qFormat/>
    <w:uiPriority w:val="99"/>
    <w:rPr>
      <w:rFonts w:ascii="Tahoma" w:hAnsi="Tahoma"/>
      <w:kern w:val="2"/>
      <w:sz w:val="21"/>
      <w:szCs w:val="24"/>
    </w:rPr>
  </w:style>
  <w:style w:type="character" w:customStyle="1" w:styleId="105">
    <w:name w:val="批注框文本 Char1"/>
    <w:semiHidden/>
    <w:qFormat/>
    <w:uiPriority w:val="99"/>
    <w:rPr>
      <w:rFonts w:ascii="Tahoma" w:hAnsi="Tahoma"/>
      <w:kern w:val="2"/>
      <w:sz w:val="18"/>
      <w:szCs w:val="18"/>
    </w:rPr>
  </w:style>
  <w:style w:type="paragraph" w:customStyle="1" w:styleId="106">
    <w:name w:val="正文段"/>
    <w:basedOn w:val="1"/>
    <w:qFormat/>
    <w:uiPriority w:val="0"/>
    <w:pPr>
      <w:widowControl/>
      <w:snapToGrid w:val="0"/>
      <w:spacing w:afterLines="50"/>
      <w:ind w:firstLine="200"/>
    </w:pPr>
    <w:rPr>
      <w:kern w:val="0"/>
      <w:sz w:val="24"/>
      <w:szCs w:val="20"/>
    </w:rPr>
  </w:style>
  <w:style w:type="paragraph" w:customStyle="1" w:styleId="107">
    <w:name w:val="样式1"/>
    <w:basedOn w:val="5"/>
    <w:qFormat/>
    <w:uiPriority w:val="0"/>
  </w:style>
  <w:style w:type="paragraph" w:customStyle="1" w:styleId="108">
    <w:name w:val="表内文字"/>
    <w:basedOn w:val="1"/>
    <w:qFormat/>
    <w:uiPriority w:val="0"/>
    <w:pPr>
      <w:tabs>
        <w:tab w:val="left" w:pos="1418"/>
      </w:tabs>
      <w:jc w:val="center"/>
    </w:pPr>
    <w:rPr>
      <w:rFonts w:ascii="仿宋_GB2312" w:eastAsia="仿宋_GB2312"/>
      <w:spacing w:val="-20"/>
      <w:kern w:val="0"/>
      <w:sz w:val="24"/>
    </w:rPr>
  </w:style>
  <w:style w:type="paragraph" w:customStyle="1" w:styleId="109">
    <w:name w:val="样式 首行缩进:  2 字符"/>
    <w:basedOn w:val="1"/>
    <w:qFormat/>
    <w:uiPriority w:val="0"/>
    <w:pPr>
      <w:spacing w:before="120" w:line="288" w:lineRule="auto"/>
      <w:ind w:firstLine="420"/>
    </w:pPr>
    <w:rPr>
      <w:rFonts w:cs="宋体"/>
      <w:szCs w:val="20"/>
    </w:rPr>
  </w:style>
  <w:style w:type="paragraph" w:customStyle="1" w:styleId="110">
    <w:name w:val="Char Char Char Char Char Char"/>
    <w:basedOn w:val="1"/>
    <w:qFormat/>
    <w:uiPriority w:val="0"/>
    <w:rPr>
      <w:rFonts w:ascii="Tahoma" w:hAnsi="Tahoma"/>
      <w:sz w:val="24"/>
    </w:rPr>
  </w:style>
  <w:style w:type="paragraph" w:customStyle="1" w:styleId="111">
    <w:name w:val="正文(首行缩进2字)"/>
    <w:basedOn w:val="1"/>
    <w:qFormat/>
    <w:uiPriority w:val="0"/>
    <w:pPr>
      <w:overflowPunct w:val="0"/>
      <w:autoSpaceDE w:val="0"/>
      <w:autoSpaceDN w:val="0"/>
      <w:adjustRightInd w:val="0"/>
      <w:snapToGrid w:val="0"/>
      <w:spacing w:before="60" w:after="60" w:line="300" w:lineRule="auto"/>
      <w:ind w:firstLine="200"/>
      <w:textAlignment w:val="baseline"/>
    </w:pPr>
    <w:rPr>
      <w:sz w:val="24"/>
    </w:rPr>
  </w:style>
  <w:style w:type="paragraph" w:customStyle="1" w:styleId="112">
    <w:name w:val="Char Char1 Char Char"/>
    <w:basedOn w:val="1"/>
    <w:qFormat/>
    <w:uiPriority w:val="0"/>
    <w:pPr>
      <w:adjustRightInd w:val="0"/>
      <w:spacing w:line="360" w:lineRule="atLeast"/>
      <w:textAlignment w:val="baseline"/>
    </w:pPr>
    <w:rPr>
      <w:rFonts w:ascii="Calibri" w:hAnsi="Calibri"/>
    </w:rPr>
  </w:style>
  <w:style w:type="paragraph" w:customStyle="1" w:styleId="113">
    <w:name w:val="_Style 3"/>
    <w:basedOn w:val="1"/>
    <w:qFormat/>
    <w:uiPriority w:val="99"/>
    <w:pPr>
      <w:spacing w:line="240" w:lineRule="auto"/>
      <w:ind w:firstLine="420"/>
    </w:pPr>
    <w:rPr>
      <w:szCs w:val="22"/>
    </w:rPr>
  </w:style>
  <w:style w:type="paragraph" w:customStyle="1" w:styleId="1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5">
    <w:name w:val="首行缩进"/>
    <w:basedOn w:val="1"/>
    <w:qFormat/>
    <w:uiPriority w:val="99"/>
    <w:pPr>
      <w:spacing w:line="300" w:lineRule="auto"/>
      <w:ind w:firstLine="200"/>
    </w:pPr>
    <w:rPr>
      <w:rFonts w:hAnsi="宋体" w:eastAsia="方正书宋简体"/>
      <w:kern w:val="0"/>
      <w:sz w:val="20"/>
    </w:rPr>
  </w:style>
  <w:style w:type="paragraph" w:customStyle="1" w:styleId="116">
    <w:name w:val="_Style 50"/>
    <w:basedOn w:val="1"/>
    <w:qFormat/>
    <w:uiPriority w:val="0"/>
    <w:pPr>
      <w:widowControl/>
      <w:spacing w:after="160" w:line="240" w:lineRule="exact"/>
      <w:jc w:val="left"/>
    </w:pPr>
    <w:rPr>
      <w:rFonts w:ascii="Verdana" w:hAnsi="Verdana"/>
      <w:kern w:val="0"/>
      <w:sz w:val="20"/>
      <w:szCs w:val="20"/>
      <w:lang w:eastAsia="en-US"/>
    </w:rPr>
  </w:style>
  <w:style w:type="paragraph" w:customStyle="1" w:styleId="117">
    <w:name w:val="列出段落2"/>
    <w:basedOn w:val="1"/>
    <w:qFormat/>
    <w:uiPriority w:val="0"/>
    <w:pPr>
      <w:ind w:firstLine="420"/>
    </w:pPr>
    <w:rPr>
      <w:rFonts w:ascii="Calibri" w:hAnsi="Calibri"/>
      <w:szCs w:val="22"/>
    </w:rPr>
  </w:style>
  <w:style w:type="paragraph" w:customStyle="1" w:styleId="118">
    <w:name w:val="样式 宋体 两端对齐 段前: 6 磅 段后: 6 磅"/>
    <w:basedOn w:val="1"/>
    <w:qFormat/>
    <w:uiPriority w:val="0"/>
    <w:pPr>
      <w:widowControl/>
      <w:spacing w:before="120" w:after="120"/>
    </w:pPr>
    <w:rPr>
      <w:rFonts w:ascii="宋体" w:hAnsi="宋体" w:cs="宋体"/>
      <w:kern w:val="0"/>
      <w:szCs w:val="20"/>
      <w:lang w:eastAsia="en-US"/>
    </w:rPr>
  </w:style>
  <w:style w:type="paragraph" w:customStyle="1" w:styleId="119">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列出段落1"/>
    <w:basedOn w:val="1"/>
    <w:qFormat/>
    <w:uiPriority w:val="0"/>
    <w:pPr>
      <w:ind w:firstLine="420"/>
    </w:pPr>
    <w:rPr>
      <w:rFonts w:ascii="Calibri" w:hAnsi="Calibri"/>
      <w:szCs w:val="22"/>
    </w:rPr>
  </w:style>
  <w:style w:type="paragraph" w:customStyle="1" w:styleId="121">
    <w:name w:val="_Style 1"/>
    <w:basedOn w:val="1"/>
    <w:qFormat/>
    <w:uiPriority w:val="0"/>
    <w:pPr>
      <w:spacing w:line="240" w:lineRule="auto"/>
      <w:ind w:firstLine="420"/>
    </w:pPr>
    <w:rPr>
      <w:rFonts w:ascii="Calibri" w:hAnsi="Calibri"/>
    </w:rPr>
  </w:style>
  <w:style w:type="paragraph" w:customStyle="1" w:styleId="122">
    <w:name w:val="_Style 68"/>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副题目"/>
    <w:basedOn w:val="1"/>
    <w:qFormat/>
    <w:uiPriority w:val="0"/>
    <w:pPr>
      <w:keepNext/>
      <w:adjustRightInd w:val="0"/>
      <w:spacing w:before="3120" w:beforeLines="1000" w:after="312" w:afterLines="100"/>
      <w:jc w:val="center"/>
      <w:textAlignment w:val="baseline"/>
    </w:pPr>
    <w:rPr>
      <w:rFonts w:ascii="Arial" w:hAnsi="Arial" w:eastAsia="黑体"/>
      <w:b/>
      <w:sz w:val="32"/>
    </w:rPr>
  </w:style>
  <w:style w:type="paragraph" w:customStyle="1" w:styleId="124">
    <w:name w:val="Char2"/>
    <w:basedOn w:val="1"/>
    <w:qFormat/>
    <w:uiPriority w:val="0"/>
    <w:rPr>
      <w:rFonts w:ascii="仿宋_GB2312" w:eastAsia="仿宋_GB2312"/>
      <w:b/>
      <w:sz w:val="32"/>
      <w:szCs w:val="32"/>
    </w:rPr>
  </w:style>
  <w:style w:type="paragraph" w:customStyle="1" w:styleId="125">
    <w:name w:val="List Paragraph1"/>
    <w:basedOn w:val="1"/>
    <w:qFormat/>
    <w:uiPriority w:val="0"/>
    <w:pPr>
      <w:ind w:firstLine="420"/>
    </w:pPr>
    <w:rPr>
      <w:rFonts w:ascii="Calibri" w:hAnsi="Calibri"/>
      <w:szCs w:val="22"/>
    </w:rPr>
  </w:style>
  <w:style w:type="paragraph" w:customStyle="1" w:styleId="126">
    <w:name w:val="Char1"/>
    <w:basedOn w:val="1"/>
    <w:qFormat/>
    <w:uiPriority w:val="0"/>
    <w:rPr>
      <w:rFonts w:ascii="Tahoma" w:hAnsi="Tahoma"/>
      <w:sz w:val="24"/>
      <w:szCs w:val="20"/>
    </w:rPr>
  </w:style>
  <w:style w:type="paragraph" w:customStyle="1" w:styleId="127">
    <w:name w:val="TOC Heading"/>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128">
    <w:name w:val="Char11"/>
    <w:basedOn w:val="1"/>
    <w:qFormat/>
    <w:uiPriority w:val="0"/>
    <w:rPr>
      <w:rFonts w:ascii="Tahoma" w:hAnsi="Tahoma"/>
      <w:sz w:val="24"/>
      <w:szCs w:val="20"/>
    </w:rPr>
  </w:style>
  <w:style w:type="paragraph" w:customStyle="1" w:styleId="129">
    <w:name w:val="Char"/>
    <w:basedOn w:val="1"/>
    <w:qFormat/>
    <w:uiPriority w:val="0"/>
  </w:style>
  <w:style w:type="paragraph" w:customStyle="1" w:styleId="130">
    <w:name w:val="一般条文 Char"/>
    <w:basedOn w:val="1"/>
    <w:qFormat/>
    <w:uiPriority w:val="0"/>
    <w:rPr>
      <w:rFonts w:cs="宋体"/>
      <w:sz w:val="24"/>
    </w:rPr>
  </w:style>
  <w:style w:type="paragraph" w:customStyle="1" w:styleId="131">
    <w:name w:val="_Style 2"/>
    <w:basedOn w:val="1"/>
    <w:qFormat/>
    <w:uiPriority w:val="99"/>
    <w:pPr>
      <w:ind w:firstLine="420"/>
    </w:pPr>
  </w:style>
  <w:style w:type="paragraph" w:customStyle="1" w:styleId="132">
    <w:name w:val="单位"/>
    <w:basedOn w:val="1"/>
    <w:next w:val="23"/>
    <w:qFormat/>
    <w:uiPriority w:val="0"/>
    <w:pPr>
      <w:keepNext/>
      <w:adjustRightInd w:val="0"/>
      <w:spacing w:before="156" w:beforeLines="50" w:after="156" w:afterLines="50"/>
      <w:jc w:val="center"/>
      <w:textAlignment w:val="baseline"/>
    </w:pPr>
    <w:rPr>
      <w:rFonts w:ascii="黑体" w:eastAsia="黑体"/>
      <w:b/>
      <w:sz w:val="30"/>
    </w:rPr>
  </w:style>
  <w:style w:type="paragraph" w:customStyle="1" w:styleId="133">
    <w:name w:val="默认段落字体 Para Char Char Char Char Char Char Char Char Char1 Char Char Char Char"/>
    <w:basedOn w:val="1"/>
    <w:qFormat/>
    <w:uiPriority w:val="0"/>
    <w:rPr>
      <w:rFonts w:ascii="Tahoma" w:hAnsi="Tahoma"/>
      <w:sz w:val="24"/>
      <w:szCs w:val="20"/>
    </w:rPr>
  </w:style>
  <w:style w:type="paragraph" w:customStyle="1" w:styleId="134">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135">
    <w:name w:val="Char4"/>
    <w:basedOn w:val="1"/>
    <w:qFormat/>
    <w:uiPriority w:val="0"/>
  </w:style>
  <w:style w:type="paragraph" w:customStyle="1" w:styleId="136">
    <w:name w:val="p0"/>
    <w:basedOn w:val="1"/>
    <w:qFormat/>
    <w:uiPriority w:val="0"/>
    <w:pPr>
      <w:widowControl/>
    </w:pPr>
    <w:rPr>
      <w:kern w:val="0"/>
      <w:szCs w:val="21"/>
    </w:rPr>
  </w:style>
  <w:style w:type="paragraph" w:styleId="137">
    <w:name w:val="List Paragraph"/>
    <w:basedOn w:val="1"/>
    <w:qFormat/>
    <w:uiPriority w:val="34"/>
    <w:pPr>
      <w:ind w:firstLine="420"/>
    </w:pPr>
    <w:rPr>
      <w:sz w:val="24"/>
      <w:szCs w:val="20"/>
    </w:rPr>
  </w:style>
  <w:style w:type="paragraph" w:customStyle="1" w:styleId="138">
    <w:name w:val="biaoge"/>
    <w:basedOn w:val="1"/>
    <w:qFormat/>
    <w:uiPriority w:val="0"/>
  </w:style>
  <w:style w:type="paragraph" w:customStyle="1" w:styleId="139">
    <w:name w:val="Char3"/>
    <w:basedOn w:val="1"/>
    <w:qFormat/>
    <w:uiPriority w:val="0"/>
  </w:style>
  <w:style w:type="table" w:customStyle="1" w:styleId="140">
    <w:name w:val="Table Normal"/>
    <w:unhideWhenUsed/>
    <w:qFormat/>
    <w:uiPriority w:val="0"/>
    <w:tblPr>
      <w:tblCellMar>
        <w:top w:w="0" w:type="dxa"/>
        <w:left w:w="0" w:type="dxa"/>
        <w:bottom w:w="0" w:type="dxa"/>
        <w:right w:w="0" w:type="dxa"/>
      </w:tblCellMar>
    </w:tblPr>
  </w:style>
  <w:style w:type="paragraph" w:customStyle="1" w:styleId="141">
    <w:name w:val="Table Text"/>
    <w:basedOn w:val="1"/>
    <w:semiHidden/>
    <w:qFormat/>
    <w:uiPriority w:val="0"/>
    <w:rPr>
      <w:rFonts w:ascii="微软雅黑" w:hAnsi="微软雅黑" w:eastAsia="微软雅黑" w:cs="微软雅黑"/>
      <w:sz w:val="20"/>
      <w:szCs w:val="20"/>
      <w:lang w:eastAsia="en-US"/>
    </w:rPr>
  </w:style>
  <w:style w:type="paragraph" w:customStyle="1" w:styleId="142">
    <w:name w:val="Char Char Char Char Char Char3"/>
    <w:basedOn w:val="1"/>
    <w:qFormat/>
    <w:uiPriority w:val="0"/>
    <w:pPr>
      <w:adjustRightInd w:val="0"/>
      <w:spacing w:line="360" w:lineRule="atLeast"/>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18689</Words>
  <Characters>20369</Characters>
  <Lines>302</Lines>
  <Paragraphs>85</Paragraphs>
  <TotalTime>5</TotalTime>
  <ScaleCrop>false</ScaleCrop>
  <LinksUpToDate>false</LinksUpToDate>
  <CharactersWithSpaces>20678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2026-05-26T02:27:00Z</dcterms:created>
  <dc:creator>admin</dc:creator>
  <cp:lastModifiedBy>白日梦</cp:lastModifiedBy>
  <cp:lastPrinted>2021-05-08T00:44:00Z</cp:lastPrinted>
  <dcterms:modified xsi:type="dcterms:W3CDTF">2026-07-27T07:50:38Z</dcterms:modified>
  <dc:title>宁波港物资有限公司关于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91DCF5B7E9C84A7E8E3E9A9BD7940DFC_13</vt:lpwstr>
  </property>
  <property fmtid="{D5CDD505-2E9C-101B-9397-08002B2CF9AE}" pid="4" name="KSOTemplateDocerSaveRecord">
    <vt:lpwstr>eyJoZGlkIjoiNTYyNDc5MTgxN2NjOWFjMjViNzhhOTdlZDViOWJiMjIiLCJ1c2VySWQiOiI0MTE2MzM4NzUifQ==</vt:lpwstr>
  </property>
</Properties>
</file>